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19D" w:rsidRPr="0045519D" w:rsidRDefault="0045519D" w:rsidP="0045519D">
      <w:pPr>
        <w:tabs>
          <w:tab w:val="left" w:pos="2880"/>
        </w:tabs>
        <w:spacing w:after="0" w:line="240" w:lineRule="auto"/>
        <w:rPr>
          <w:rFonts w:ascii="Garamond" w:hAnsi="Garamond" w:cs="Segoe UI"/>
          <w:sz w:val="24"/>
          <w:szCs w:val="24"/>
        </w:rPr>
      </w:pPr>
      <w:bookmarkStart w:id="0" w:name="_GoBack"/>
      <w:bookmarkEnd w:id="0"/>
      <w:r w:rsidRPr="0045519D">
        <w:rPr>
          <w:rFonts w:ascii="Garamond" w:hAnsi="Garamond" w:cs="Segoe UI"/>
          <w:sz w:val="24"/>
          <w:szCs w:val="24"/>
        </w:rPr>
        <w:t xml:space="preserve">Section 2.1 – </w:t>
      </w:r>
      <w:r w:rsidR="003F23C3">
        <w:rPr>
          <w:rFonts w:ascii="Garamond" w:hAnsi="Garamond" w:cs="Segoe UI"/>
          <w:sz w:val="24"/>
          <w:szCs w:val="24"/>
        </w:rPr>
        <w:t xml:space="preserve">Hazard Identification, of WisDOT’s ASP template </w:t>
      </w:r>
      <w:r>
        <w:rPr>
          <w:rFonts w:ascii="Garamond" w:hAnsi="Garamond" w:cs="Segoe UI"/>
          <w:sz w:val="24"/>
          <w:szCs w:val="24"/>
        </w:rPr>
        <w:t>contains a general description of requirements</w:t>
      </w:r>
      <w:r w:rsidR="003F23C3">
        <w:rPr>
          <w:rFonts w:ascii="Garamond" w:hAnsi="Garamond" w:cs="Segoe UI"/>
          <w:sz w:val="24"/>
          <w:szCs w:val="24"/>
        </w:rPr>
        <w:t xml:space="preserve"> under 49 CFR Part 673</w:t>
      </w:r>
      <w:r>
        <w:rPr>
          <w:rFonts w:ascii="Garamond" w:hAnsi="Garamond" w:cs="Segoe UI"/>
          <w:sz w:val="24"/>
          <w:szCs w:val="24"/>
        </w:rPr>
        <w:t xml:space="preserve">. However, to comply with </w:t>
      </w:r>
      <w:r w:rsidR="003F23C3">
        <w:rPr>
          <w:rFonts w:ascii="Garamond" w:hAnsi="Garamond" w:cs="Segoe UI"/>
          <w:sz w:val="24"/>
          <w:szCs w:val="24"/>
        </w:rPr>
        <w:t xml:space="preserve">the </w:t>
      </w:r>
      <w:r>
        <w:rPr>
          <w:rFonts w:ascii="Garamond" w:hAnsi="Garamond" w:cs="Segoe UI"/>
          <w:sz w:val="24"/>
          <w:szCs w:val="24"/>
        </w:rPr>
        <w:t xml:space="preserve">requirements </w:t>
      </w:r>
      <w:r w:rsidR="003F23C3">
        <w:rPr>
          <w:rFonts w:ascii="Garamond" w:hAnsi="Garamond" w:cs="Segoe UI"/>
          <w:sz w:val="24"/>
          <w:szCs w:val="24"/>
        </w:rPr>
        <w:t xml:space="preserve">of </w:t>
      </w:r>
      <w:r>
        <w:rPr>
          <w:rFonts w:ascii="Garamond" w:hAnsi="Garamond" w:cs="Segoe UI"/>
          <w:sz w:val="24"/>
          <w:szCs w:val="24"/>
        </w:rPr>
        <w:t xml:space="preserve">§ 673.11(a)(2), your agency will need to include </w:t>
      </w:r>
      <w:r w:rsidRPr="0045519D">
        <w:rPr>
          <w:rFonts w:ascii="Garamond" w:hAnsi="Garamond" w:cs="Segoe UI"/>
          <w:sz w:val="24"/>
          <w:szCs w:val="24"/>
        </w:rPr>
        <w:t>specific</w:t>
      </w:r>
      <w:r>
        <w:rPr>
          <w:rFonts w:ascii="Garamond" w:hAnsi="Garamond" w:cs="Segoe UI"/>
          <w:sz w:val="24"/>
          <w:szCs w:val="24"/>
        </w:rPr>
        <w:t xml:space="preserve"> risk management and hazard identification and analysis</w:t>
      </w:r>
      <w:r w:rsidRPr="0045519D">
        <w:rPr>
          <w:rFonts w:ascii="Garamond" w:hAnsi="Garamond" w:cs="Segoe UI"/>
          <w:sz w:val="24"/>
          <w:szCs w:val="24"/>
        </w:rPr>
        <w:t xml:space="preserve"> methods an</w:t>
      </w:r>
      <w:r>
        <w:rPr>
          <w:rFonts w:ascii="Garamond" w:hAnsi="Garamond" w:cs="Segoe UI"/>
          <w:sz w:val="24"/>
          <w:szCs w:val="24"/>
        </w:rPr>
        <w:t>d processes for your final ASP (</w:t>
      </w:r>
      <w:r w:rsidRPr="0045519D">
        <w:rPr>
          <w:rFonts w:ascii="Garamond" w:hAnsi="Garamond" w:cs="Segoe UI"/>
          <w:sz w:val="24"/>
          <w:szCs w:val="24"/>
        </w:rPr>
        <w:t xml:space="preserve">in addition to information </w:t>
      </w:r>
      <w:r>
        <w:rPr>
          <w:rFonts w:ascii="Garamond" w:hAnsi="Garamond" w:cs="Segoe UI"/>
          <w:sz w:val="24"/>
          <w:szCs w:val="24"/>
        </w:rPr>
        <w:t>collected in Appendices B and C).</w:t>
      </w:r>
    </w:p>
    <w:p w:rsidR="0045519D" w:rsidRPr="0045519D" w:rsidRDefault="0045519D" w:rsidP="0045519D">
      <w:pPr>
        <w:tabs>
          <w:tab w:val="left" w:pos="2880"/>
        </w:tabs>
        <w:spacing w:after="0" w:line="240" w:lineRule="auto"/>
        <w:rPr>
          <w:rFonts w:ascii="Garamond" w:hAnsi="Garamond" w:cs="Segoe UI"/>
          <w:sz w:val="24"/>
          <w:szCs w:val="24"/>
        </w:rPr>
      </w:pPr>
    </w:p>
    <w:p w:rsidR="0045519D" w:rsidRPr="0045519D" w:rsidRDefault="0045519D" w:rsidP="0045519D">
      <w:pPr>
        <w:tabs>
          <w:tab w:val="left" w:pos="2880"/>
        </w:tabs>
        <w:spacing w:after="0" w:line="240" w:lineRule="auto"/>
        <w:rPr>
          <w:rFonts w:ascii="Garamond" w:hAnsi="Garamond" w:cs="Segoe UI"/>
          <w:sz w:val="24"/>
          <w:szCs w:val="24"/>
        </w:rPr>
      </w:pPr>
      <w:r>
        <w:rPr>
          <w:rFonts w:ascii="Garamond" w:hAnsi="Garamond" w:cs="Segoe UI"/>
          <w:sz w:val="24"/>
          <w:szCs w:val="24"/>
        </w:rPr>
        <w:t>You will need to</w:t>
      </w:r>
      <w:r w:rsidRPr="0045519D">
        <w:rPr>
          <w:rFonts w:ascii="Garamond" w:hAnsi="Garamond" w:cs="Segoe UI"/>
          <w:sz w:val="24"/>
          <w:szCs w:val="24"/>
        </w:rPr>
        <w:t xml:space="preserve"> explain how identified hazards and associated consequences are tracked and reviewed across </w:t>
      </w:r>
      <w:r>
        <w:rPr>
          <w:rFonts w:ascii="Garamond" w:hAnsi="Garamond" w:cs="Segoe UI"/>
          <w:sz w:val="24"/>
          <w:szCs w:val="24"/>
        </w:rPr>
        <w:t>your</w:t>
      </w:r>
      <w:r w:rsidRPr="0045519D">
        <w:rPr>
          <w:rFonts w:ascii="Garamond" w:hAnsi="Garamond" w:cs="Segoe UI"/>
          <w:sz w:val="24"/>
          <w:szCs w:val="24"/>
        </w:rPr>
        <w:t xml:space="preserve"> agency</w:t>
      </w:r>
      <w:r>
        <w:rPr>
          <w:rFonts w:ascii="Garamond" w:hAnsi="Garamond" w:cs="Segoe UI"/>
          <w:sz w:val="24"/>
          <w:szCs w:val="24"/>
        </w:rPr>
        <w:t xml:space="preserve">, as well as </w:t>
      </w:r>
      <w:r w:rsidRPr="0045519D">
        <w:rPr>
          <w:rFonts w:ascii="Garamond" w:hAnsi="Garamond" w:cs="Segoe UI"/>
          <w:sz w:val="24"/>
          <w:szCs w:val="24"/>
        </w:rPr>
        <w:t xml:space="preserve">who is responsible for managing this overall process. </w:t>
      </w:r>
      <w:r>
        <w:rPr>
          <w:rFonts w:ascii="Garamond" w:hAnsi="Garamond" w:cs="Segoe UI"/>
          <w:sz w:val="24"/>
          <w:szCs w:val="24"/>
        </w:rPr>
        <w:t>For example, your</w:t>
      </w:r>
      <w:r w:rsidRPr="0045519D">
        <w:rPr>
          <w:rFonts w:ascii="Garamond" w:hAnsi="Garamond" w:cs="Segoe UI"/>
          <w:sz w:val="24"/>
          <w:szCs w:val="24"/>
        </w:rPr>
        <w:t xml:space="preserve"> pro</w:t>
      </w:r>
      <w:r>
        <w:rPr>
          <w:rFonts w:ascii="Garamond" w:hAnsi="Garamond" w:cs="Segoe UI"/>
          <w:sz w:val="24"/>
          <w:szCs w:val="24"/>
        </w:rPr>
        <w:t>cess c</w:t>
      </w:r>
      <w:r w:rsidRPr="0045519D">
        <w:rPr>
          <w:rFonts w:ascii="Garamond" w:hAnsi="Garamond" w:cs="Segoe UI"/>
          <w:sz w:val="24"/>
          <w:szCs w:val="24"/>
        </w:rPr>
        <w:t>ould describe where the information is being saved, monitored, and analyzed</w:t>
      </w:r>
      <w:r>
        <w:rPr>
          <w:rFonts w:ascii="Garamond" w:hAnsi="Garamond" w:cs="Segoe UI"/>
          <w:sz w:val="24"/>
          <w:szCs w:val="24"/>
        </w:rPr>
        <w:t>,</w:t>
      </w:r>
      <w:r w:rsidRPr="0045519D">
        <w:rPr>
          <w:rFonts w:ascii="Garamond" w:hAnsi="Garamond" w:cs="Segoe UI"/>
          <w:sz w:val="24"/>
          <w:szCs w:val="24"/>
        </w:rPr>
        <w:t xml:space="preserve"> and who is responsible for each of the steps.</w:t>
      </w:r>
    </w:p>
    <w:p w:rsidR="0045519D" w:rsidRPr="0045519D" w:rsidRDefault="0045519D" w:rsidP="0045519D">
      <w:pPr>
        <w:tabs>
          <w:tab w:val="left" w:pos="2880"/>
        </w:tabs>
        <w:spacing w:after="0" w:line="240" w:lineRule="auto"/>
        <w:rPr>
          <w:rFonts w:ascii="Garamond" w:hAnsi="Garamond" w:cs="Segoe UI"/>
          <w:sz w:val="24"/>
          <w:szCs w:val="24"/>
        </w:rPr>
      </w:pPr>
    </w:p>
    <w:p w:rsidR="0045519D" w:rsidRPr="0045519D" w:rsidRDefault="0045519D" w:rsidP="0045519D">
      <w:pPr>
        <w:tabs>
          <w:tab w:val="left" w:pos="2880"/>
        </w:tabs>
        <w:spacing w:after="0" w:line="240" w:lineRule="auto"/>
        <w:rPr>
          <w:rFonts w:ascii="Garamond" w:hAnsi="Garamond" w:cs="Segoe UI"/>
          <w:sz w:val="24"/>
          <w:szCs w:val="24"/>
        </w:rPr>
      </w:pPr>
      <w:r w:rsidRPr="0045519D">
        <w:rPr>
          <w:rFonts w:ascii="Garamond" w:hAnsi="Garamond" w:cs="Segoe UI"/>
          <w:sz w:val="24"/>
          <w:szCs w:val="24"/>
        </w:rPr>
        <w:t xml:space="preserve">For additional information on this topic, review </w:t>
      </w:r>
      <w:hyperlink r:id="rId5" w:history="1">
        <w:r w:rsidRPr="0045519D">
          <w:rPr>
            <w:rStyle w:val="Hyperlink"/>
            <w:rFonts w:ascii="Garamond" w:hAnsi="Garamond" w:cs="Segoe UI"/>
            <w:sz w:val="24"/>
            <w:szCs w:val="24"/>
          </w:rPr>
          <w:t>FTA’s Guide to Developing the Safety Risk Management Component of a Public Transportation Agency Safety Plan</w:t>
        </w:r>
      </w:hyperlink>
      <w:r w:rsidRPr="0045519D">
        <w:rPr>
          <w:rFonts w:ascii="Garamond" w:hAnsi="Garamond" w:cs="Segoe UI"/>
          <w:sz w:val="24"/>
          <w:szCs w:val="24"/>
        </w:rPr>
        <w:t>.</w:t>
      </w:r>
    </w:p>
    <w:p w:rsidR="0045519D" w:rsidRPr="0045519D" w:rsidRDefault="0045519D" w:rsidP="0045519D">
      <w:pPr>
        <w:tabs>
          <w:tab w:val="left" w:pos="2880"/>
        </w:tabs>
        <w:spacing w:after="0" w:line="240" w:lineRule="auto"/>
        <w:rPr>
          <w:rFonts w:ascii="Garamond" w:hAnsi="Garamond" w:cs="Segoe UI"/>
          <w:sz w:val="24"/>
          <w:szCs w:val="24"/>
        </w:rPr>
      </w:pPr>
    </w:p>
    <w:p w:rsidR="0045519D" w:rsidRDefault="0045519D" w:rsidP="0045519D">
      <w:pPr>
        <w:tabs>
          <w:tab w:val="left" w:pos="2880"/>
        </w:tabs>
        <w:spacing w:after="0" w:line="240" w:lineRule="auto"/>
        <w:rPr>
          <w:rFonts w:ascii="Garamond" w:hAnsi="Garamond" w:cs="Segoe UI"/>
          <w:sz w:val="24"/>
          <w:szCs w:val="24"/>
        </w:rPr>
      </w:pPr>
      <w:r w:rsidRPr="0045519D">
        <w:rPr>
          <w:rFonts w:ascii="Garamond" w:hAnsi="Garamond" w:cs="Segoe UI"/>
          <w:sz w:val="24"/>
          <w:szCs w:val="24"/>
        </w:rPr>
        <w:t xml:space="preserve">Safety hazard identification guidance is also available in </w:t>
      </w:r>
      <w:hyperlink r:id="rId6" w:history="1">
        <w:r w:rsidRPr="003F23C3">
          <w:rPr>
            <w:rStyle w:val="Hyperlink"/>
            <w:rFonts w:ascii="Garamond" w:hAnsi="Garamond" w:cs="Segoe UI"/>
            <w:sz w:val="24"/>
            <w:szCs w:val="24"/>
          </w:rPr>
          <w:t xml:space="preserve">FTA’s Hazards and Consequences </w:t>
        </w:r>
        <w:proofErr w:type="spellStart"/>
        <w:r w:rsidRPr="003F23C3">
          <w:rPr>
            <w:rStyle w:val="Hyperlink"/>
            <w:rFonts w:ascii="Garamond" w:hAnsi="Garamond" w:cs="Segoe UI"/>
            <w:sz w:val="24"/>
            <w:szCs w:val="24"/>
          </w:rPr>
          <w:t>Self Guided</w:t>
        </w:r>
        <w:proofErr w:type="spellEnd"/>
        <w:r w:rsidRPr="003F23C3">
          <w:rPr>
            <w:rStyle w:val="Hyperlink"/>
            <w:rFonts w:ascii="Garamond" w:hAnsi="Garamond" w:cs="Segoe UI"/>
            <w:sz w:val="24"/>
            <w:szCs w:val="24"/>
          </w:rPr>
          <w:t xml:space="preserve"> Learning Tool</w:t>
        </w:r>
      </w:hyperlink>
      <w:r w:rsidRPr="0045519D">
        <w:rPr>
          <w:rFonts w:ascii="Garamond" w:hAnsi="Garamond" w:cs="Segoe UI"/>
          <w:sz w:val="24"/>
          <w:szCs w:val="24"/>
        </w:rPr>
        <w:t>.</w:t>
      </w:r>
    </w:p>
    <w:p w:rsidR="003F23C3" w:rsidRDefault="003F23C3" w:rsidP="0045519D">
      <w:pPr>
        <w:tabs>
          <w:tab w:val="left" w:pos="2880"/>
        </w:tabs>
        <w:spacing w:after="0" w:line="240" w:lineRule="auto"/>
        <w:rPr>
          <w:rFonts w:ascii="Garamond" w:hAnsi="Garamond" w:cs="Segoe UI"/>
          <w:sz w:val="24"/>
          <w:szCs w:val="24"/>
        </w:rPr>
      </w:pPr>
    </w:p>
    <w:p w:rsidR="003F23C3" w:rsidRDefault="003F23C3" w:rsidP="0045519D">
      <w:pPr>
        <w:tabs>
          <w:tab w:val="left" w:pos="2880"/>
        </w:tabs>
        <w:spacing w:after="0" w:line="240" w:lineRule="auto"/>
        <w:rPr>
          <w:rFonts w:ascii="Garamond" w:hAnsi="Garamond" w:cs="Segoe UI"/>
          <w:sz w:val="24"/>
          <w:szCs w:val="24"/>
        </w:rPr>
      </w:pPr>
      <w:r>
        <w:rPr>
          <w:rFonts w:ascii="Garamond" w:hAnsi="Garamond" w:cs="Segoe UI"/>
          <w:sz w:val="24"/>
          <w:szCs w:val="24"/>
        </w:rPr>
        <w:t>The following is checklist for safety risk management and safety assurance (two of the four components of a safety management system, or SMS) information you will need to include in your final ASP:</w:t>
      </w:r>
    </w:p>
    <w:p w:rsidR="0045519D" w:rsidRDefault="0045519D" w:rsidP="0045519D">
      <w:pPr>
        <w:tabs>
          <w:tab w:val="left" w:pos="2880"/>
        </w:tabs>
        <w:spacing w:after="0" w:line="240" w:lineRule="auto"/>
        <w:rPr>
          <w:rFonts w:ascii="Garamond" w:hAnsi="Garamond" w:cs="Segoe UI"/>
          <w:sz w:val="24"/>
          <w:szCs w:val="24"/>
        </w:rPr>
      </w:pPr>
    </w:p>
    <w:p w:rsidR="00D53B2C" w:rsidRPr="003F23C3" w:rsidRDefault="00D53B2C" w:rsidP="0045519D">
      <w:pPr>
        <w:tabs>
          <w:tab w:val="left" w:pos="2880"/>
        </w:tabs>
        <w:spacing w:after="0" w:line="240" w:lineRule="auto"/>
        <w:rPr>
          <w:rFonts w:ascii="Garamond" w:hAnsi="Garamond" w:cs="Segoe UI"/>
          <w:b/>
          <w:sz w:val="24"/>
          <w:szCs w:val="24"/>
        </w:rPr>
      </w:pPr>
      <w:r w:rsidRPr="003F23C3">
        <w:rPr>
          <w:rFonts w:ascii="Garamond" w:hAnsi="Garamond" w:cs="Segoe UI"/>
          <w:b/>
          <w:sz w:val="24"/>
          <w:szCs w:val="24"/>
        </w:rPr>
        <w:t>Safety Risk Management (SRM)</w:t>
      </w:r>
    </w:p>
    <w:p w:rsidR="00D53B2C" w:rsidRPr="00D53B2C" w:rsidRDefault="00D53B2C" w:rsidP="00D53B2C">
      <w:pPr>
        <w:pStyle w:val="ListParagraph"/>
        <w:numPr>
          <w:ilvl w:val="0"/>
          <w:numId w:val="1"/>
        </w:numPr>
        <w:tabs>
          <w:tab w:val="left" w:pos="28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53B2C">
        <w:rPr>
          <w:rFonts w:ascii="Garamond" w:hAnsi="Garamond"/>
          <w:sz w:val="24"/>
          <w:szCs w:val="24"/>
        </w:rPr>
        <w:t>SRM definitions</w:t>
      </w:r>
    </w:p>
    <w:p w:rsidR="00D53B2C" w:rsidRPr="00D53B2C" w:rsidRDefault="00D53B2C" w:rsidP="00D53B2C">
      <w:pPr>
        <w:pStyle w:val="ListParagraph"/>
        <w:numPr>
          <w:ilvl w:val="0"/>
          <w:numId w:val="1"/>
        </w:numPr>
        <w:tabs>
          <w:tab w:val="left" w:pos="28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53B2C">
        <w:rPr>
          <w:rFonts w:ascii="Garamond" w:hAnsi="Garamond"/>
          <w:sz w:val="24"/>
          <w:szCs w:val="24"/>
        </w:rPr>
        <w:t>Roles and responsibilities for the SRM process</w:t>
      </w:r>
    </w:p>
    <w:p w:rsidR="00D53B2C" w:rsidRPr="00D53B2C" w:rsidRDefault="00D53B2C" w:rsidP="00D53B2C">
      <w:pPr>
        <w:pStyle w:val="ListParagraph"/>
        <w:numPr>
          <w:ilvl w:val="1"/>
          <w:numId w:val="1"/>
        </w:numPr>
        <w:tabs>
          <w:tab w:val="left" w:pos="28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53B2C">
        <w:rPr>
          <w:rFonts w:ascii="Garamond" w:hAnsi="Garamond"/>
          <w:sz w:val="24"/>
          <w:szCs w:val="24"/>
        </w:rPr>
        <w:t>Including safety risk assessment, safety risk acceptance, and safety risk mitigation.</w:t>
      </w:r>
    </w:p>
    <w:p w:rsidR="00D53B2C" w:rsidRPr="00D53B2C" w:rsidRDefault="00D53B2C" w:rsidP="00D53B2C">
      <w:pPr>
        <w:pStyle w:val="ListParagraph"/>
        <w:numPr>
          <w:ilvl w:val="0"/>
          <w:numId w:val="1"/>
        </w:numPr>
        <w:tabs>
          <w:tab w:val="left" w:pos="28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53B2C">
        <w:rPr>
          <w:rFonts w:ascii="Garamond" w:hAnsi="Garamond"/>
          <w:sz w:val="24"/>
          <w:szCs w:val="24"/>
        </w:rPr>
        <w:t>Sources of information about hazards and consequences</w:t>
      </w:r>
    </w:p>
    <w:p w:rsidR="00D53B2C" w:rsidRPr="00D53B2C" w:rsidRDefault="00D53B2C" w:rsidP="00D53B2C">
      <w:pPr>
        <w:pStyle w:val="ListParagraph"/>
        <w:numPr>
          <w:ilvl w:val="1"/>
          <w:numId w:val="1"/>
        </w:numPr>
        <w:tabs>
          <w:tab w:val="left" w:pos="28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53B2C">
        <w:rPr>
          <w:rFonts w:ascii="Garamond" w:hAnsi="Garamond"/>
          <w:sz w:val="24"/>
          <w:szCs w:val="24"/>
        </w:rPr>
        <w:t>Including any forms or tools used by the transit agency to report, receive, and review safety concerns</w:t>
      </w:r>
    </w:p>
    <w:p w:rsidR="00D53B2C" w:rsidRPr="00D53B2C" w:rsidRDefault="00D53B2C" w:rsidP="00D53B2C">
      <w:pPr>
        <w:pStyle w:val="ListParagraph"/>
        <w:numPr>
          <w:ilvl w:val="0"/>
          <w:numId w:val="1"/>
        </w:numPr>
        <w:tabs>
          <w:tab w:val="left" w:pos="28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53B2C">
        <w:rPr>
          <w:rFonts w:ascii="Garamond" w:hAnsi="Garamond"/>
          <w:sz w:val="24"/>
          <w:szCs w:val="24"/>
        </w:rPr>
        <w:t>Methods to document hazards and their potential consequences</w:t>
      </w:r>
    </w:p>
    <w:p w:rsidR="00D53B2C" w:rsidRPr="00D53B2C" w:rsidRDefault="00D53B2C" w:rsidP="00D53B2C">
      <w:pPr>
        <w:pStyle w:val="ListParagraph"/>
        <w:numPr>
          <w:ilvl w:val="1"/>
          <w:numId w:val="1"/>
        </w:numPr>
        <w:tabs>
          <w:tab w:val="left" w:pos="28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53B2C">
        <w:rPr>
          <w:rFonts w:ascii="Garamond" w:hAnsi="Garamond"/>
          <w:sz w:val="24"/>
          <w:szCs w:val="24"/>
        </w:rPr>
        <w:t>Including any forms or tools used</w:t>
      </w:r>
    </w:p>
    <w:p w:rsidR="00D53B2C" w:rsidRPr="00D53B2C" w:rsidRDefault="00D53B2C" w:rsidP="00D53B2C">
      <w:pPr>
        <w:pStyle w:val="ListParagraph"/>
        <w:numPr>
          <w:ilvl w:val="0"/>
          <w:numId w:val="1"/>
        </w:numPr>
        <w:tabs>
          <w:tab w:val="left" w:pos="28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53B2C">
        <w:rPr>
          <w:rFonts w:ascii="Garamond" w:hAnsi="Garamond"/>
          <w:sz w:val="24"/>
          <w:szCs w:val="24"/>
        </w:rPr>
        <w:t>Process for assessing the likelihood and severity of a hazard’s potential consequences</w:t>
      </w:r>
    </w:p>
    <w:p w:rsidR="00D53B2C" w:rsidRPr="00D53B2C" w:rsidRDefault="00D53B2C" w:rsidP="00D53B2C">
      <w:pPr>
        <w:pStyle w:val="ListParagraph"/>
        <w:numPr>
          <w:ilvl w:val="1"/>
          <w:numId w:val="1"/>
        </w:numPr>
        <w:tabs>
          <w:tab w:val="left" w:pos="28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53B2C">
        <w:rPr>
          <w:rFonts w:ascii="Garamond" w:hAnsi="Garamond"/>
          <w:sz w:val="24"/>
          <w:szCs w:val="24"/>
        </w:rPr>
        <w:t>Taking existing mitigations into account</w:t>
      </w:r>
    </w:p>
    <w:p w:rsidR="00D53B2C" w:rsidRPr="00D53B2C" w:rsidRDefault="00D53B2C" w:rsidP="00D53B2C">
      <w:pPr>
        <w:pStyle w:val="ListParagraph"/>
        <w:numPr>
          <w:ilvl w:val="1"/>
          <w:numId w:val="1"/>
        </w:numPr>
        <w:tabs>
          <w:tab w:val="left" w:pos="28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53B2C">
        <w:rPr>
          <w:rFonts w:ascii="Garamond" w:hAnsi="Garamond"/>
          <w:sz w:val="24"/>
          <w:szCs w:val="24"/>
        </w:rPr>
        <w:t>Including any tools, forms, or thresholds/matrices used to support and document the assessment</w:t>
      </w:r>
    </w:p>
    <w:p w:rsidR="00D53B2C" w:rsidRPr="00D53B2C" w:rsidRDefault="00D53B2C" w:rsidP="00D53B2C">
      <w:pPr>
        <w:pStyle w:val="ListParagraph"/>
        <w:numPr>
          <w:ilvl w:val="0"/>
          <w:numId w:val="1"/>
        </w:numPr>
        <w:tabs>
          <w:tab w:val="left" w:pos="28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53B2C">
        <w:rPr>
          <w:rFonts w:ascii="Garamond" w:hAnsi="Garamond"/>
          <w:sz w:val="24"/>
          <w:szCs w:val="24"/>
        </w:rPr>
        <w:t>Approach for prioritizing hazards based on safety risk</w:t>
      </w:r>
    </w:p>
    <w:p w:rsidR="00D53B2C" w:rsidRPr="00D53B2C" w:rsidRDefault="00D53B2C" w:rsidP="00D53B2C">
      <w:pPr>
        <w:pStyle w:val="ListParagraph"/>
        <w:numPr>
          <w:ilvl w:val="0"/>
          <w:numId w:val="1"/>
        </w:numPr>
        <w:tabs>
          <w:tab w:val="left" w:pos="28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53B2C">
        <w:rPr>
          <w:rFonts w:ascii="Garamond" w:hAnsi="Garamond"/>
          <w:sz w:val="24"/>
          <w:szCs w:val="24"/>
        </w:rPr>
        <w:t>Method for developing safety risk mitigations</w:t>
      </w:r>
    </w:p>
    <w:p w:rsidR="00D53B2C" w:rsidRPr="00D53B2C" w:rsidRDefault="00D53B2C" w:rsidP="00D53B2C">
      <w:pPr>
        <w:tabs>
          <w:tab w:val="left" w:pos="288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D53B2C" w:rsidRPr="003F23C3" w:rsidRDefault="00D53B2C" w:rsidP="00D53B2C">
      <w:pPr>
        <w:tabs>
          <w:tab w:val="left" w:pos="2880"/>
        </w:tabs>
        <w:spacing w:after="0" w:line="240" w:lineRule="auto"/>
        <w:rPr>
          <w:rFonts w:ascii="Garamond" w:hAnsi="Garamond" w:cs="Segoe UI"/>
          <w:b/>
          <w:sz w:val="24"/>
          <w:szCs w:val="24"/>
        </w:rPr>
      </w:pPr>
      <w:r w:rsidRPr="003F23C3">
        <w:rPr>
          <w:rFonts w:ascii="Garamond" w:hAnsi="Garamond" w:cs="Segoe UI"/>
          <w:b/>
          <w:sz w:val="24"/>
          <w:szCs w:val="24"/>
        </w:rPr>
        <w:t>Safety Assurance (SA)</w:t>
      </w:r>
    </w:p>
    <w:p w:rsidR="00D53B2C" w:rsidRPr="00D53B2C" w:rsidRDefault="00D53B2C" w:rsidP="00D53B2C">
      <w:pPr>
        <w:pStyle w:val="ListParagraph"/>
        <w:numPr>
          <w:ilvl w:val="0"/>
          <w:numId w:val="2"/>
        </w:numPr>
        <w:tabs>
          <w:tab w:val="left" w:pos="28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53B2C">
        <w:rPr>
          <w:rFonts w:ascii="Garamond" w:hAnsi="Garamond"/>
          <w:sz w:val="24"/>
          <w:szCs w:val="24"/>
        </w:rPr>
        <w:t>SA definitions</w:t>
      </w:r>
    </w:p>
    <w:p w:rsidR="00D53B2C" w:rsidRPr="00D53B2C" w:rsidRDefault="00D53B2C" w:rsidP="00D53B2C">
      <w:pPr>
        <w:pStyle w:val="ListParagraph"/>
        <w:numPr>
          <w:ilvl w:val="0"/>
          <w:numId w:val="2"/>
        </w:numPr>
        <w:tabs>
          <w:tab w:val="left" w:pos="28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53B2C">
        <w:rPr>
          <w:rFonts w:ascii="Garamond" w:hAnsi="Garamond"/>
          <w:sz w:val="24"/>
          <w:szCs w:val="24"/>
        </w:rPr>
        <w:t>Authorities, accountabilities, and responsibilities for the SA process, including:</w:t>
      </w:r>
    </w:p>
    <w:p w:rsidR="00D53B2C" w:rsidRPr="00D53B2C" w:rsidRDefault="00D53B2C" w:rsidP="00D53B2C">
      <w:pPr>
        <w:pStyle w:val="ListParagraph"/>
        <w:numPr>
          <w:ilvl w:val="1"/>
          <w:numId w:val="2"/>
        </w:numPr>
        <w:tabs>
          <w:tab w:val="left" w:pos="28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53B2C">
        <w:rPr>
          <w:rFonts w:ascii="Garamond" w:hAnsi="Garamond"/>
          <w:sz w:val="24"/>
          <w:szCs w:val="24"/>
        </w:rPr>
        <w:t>Safety performance monitoring and measurement</w:t>
      </w:r>
    </w:p>
    <w:p w:rsidR="00D53B2C" w:rsidRPr="00D53B2C" w:rsidRDefault="00D53B2C" w:rsidP="00D53B2C">
      <w:pPr>
        <w:pStyle w:val="ListParagraph"/>
        <w:numPr>
          <w:ilvl w:val="0"/>
          <w:numId w:val="2"/>
        </w:numPr>
        <w:tabs>
          <w:tab w:val="left" w:pos="28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53B2C">
        <w:rPr>
          <w:rFonts w:ascii="Garamond" w:hAnsi="Garamond"/>
          <w:sz w:val="24"/>
          <w:szCs w:val="24"/>
        </w:rPr>
        <w:t>Process, methods or approach for monitoring compliance with, and sufficiency of, the agency's procedures for operations and maintenance, including:</w:t>
      </w:r>
    </w:p>
    <w:p w:rsidR="00D53B2C" w:rsidRPr="00D53B2C" w:rsidRDefault="00D53B2C" w:rsidP="00D53B2C">
      <w:pPr>
        <w:pStyle w:val="ListParagraph"/>
        <w:numPr>
          <w:ilvl w:val="1"/>
          <w:numId w:val="2"/>
        </w:numPr>
        <w:tabs>
          <w:tab w:val="left" w:pos="28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53B2C">
        <w:rPr>
          <w:rFonts w:ascii="Garamond" w:hAnsi="Garamond"/>
          <w:sz w:val="24"/>
          <w:szCs w:val="24"/>
        </w:rPr>
        <w:t>List of operations and maintenance procedures to be monitored</w:t>
      </w:r>
    </w:p>
    <w:p w:rsidR="00D53B2C" w:rsidRPr="00D53B2C" w:rsidRDefault="00D53B2C" w:rsidP="00D53B2C">
      <w:pPr>
        <w:pStyle w:val="ListParagraph"/>
        <w:numPr>
          <w:ilvl w:val="1"/>
          <w:numId w:val="2"/>
        </w:numPr>
        <w:tabs>
          <w:tab w:val="left" w:pos="28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53B2C">
        <w:rPr>
          <w:rFonts w:ascii="Garamond" w:hAnsi="Garamond"/>
          <w:sz w:val="24"/>
          <w:szCs w:val="24"/>
        </w:rPr>
        <w:t>Monitoring methods, frequency, forms, checklists, and tools</w:t>
      </w:r>
    </w:p>
    <w:p w:rsidR="00D53B2C" w:rsidRPr="00D53B2C" w:rsidRDefault="00D53B2C" w:rsidP="00D53B2C">
      <w:pPr>
        <w:pStyle w:val="ListParagraph"/>
        <w:numPr>
          <w:ilvl w:val="1"/>
          <w:numId w:val="2"/>
        </w:numPr>
        <w:tabs>
          <w:tab w:val="left" w:pos="28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53B2C">
        <w:rPr>
          <w:rFonts w:ascii="Garamond" w:hAnsi="Garamond"/>
          <w:sz w:val="24"/>
          <w:szCs w:val="24"/>
        </w:rPr>
        <w:t>Methods and system for collecting and compiling compliance and sufficiency data, information, trends, and reports</w:t>
      </w:r>
    </w:p>
    <w:p w:rsidR="00D53B2C" w:rsidRPr="00D53B2C" w:rsidRDefault="00D53B2C" w:rsidP="00D53B2C">
      <w:pPr>
        <w:pStyle w:val="ListParagraph"/>
        <w:numPr>
          <w:ilvl w:val="1"/>
          <w:numId w:val="2"/>
        </w:numPr>
        <w:tabs>
          <w:tab w:val="left" w:pos="28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53B2C">
        <w:rPr>
          <w:rFonts w:ascii="Garamond" w:hAnsi="Garamond"/>
          <w:sz w:val="24"/>
          <w:szCs w:val="24"/>
        </w:rPr>
        <w:lastRenderedPageBreak/>
        <w:t>Safety performance measures and targets and other means used to evaluate compliance and sufficiency</w:t>
      </w:r>
    </w:p>
    <w:p w:rsidR="00D53B2C" w:rsidRPr="00D53B2C" w:rsidRDefault="00D53B2C" w:rsidP="00D53B2C">
      <w:pPr>
        <w:pStyle w:val="ListParagraph"/>
        <w:numPr>
          <w:ilvl w:val="1"/>
          <w:numId w:val="2"/>
        </w:numPr>
        <w:tabs>
          <w:tab w:val="left" w:pos="28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53B2C">
        <w:rPr>
          <w:rFonts w:ascii="Garamond" w:hAnsi="Garamond"/>
          <w:sz w:val="24"/>
          <w:szCs w:val="24"/>
        </w:rPr>
        <w:t>Criteria and method for documenting, reporting and resolving non-compliance and sufficiency issues</w:t>
      </w:r>
    </w:p>
    <w:p w:rsidR="00D53B2C" w:rsidRPr="00D53B2C" w:rsidRDefault="00D53B2C" w:rsidP="00D53B2C">
      <w:pPr>
        <w:pStyle w:val="ListParagraph"/>
        <w:numPr>
          <w:ilvl w:val="1"/>
          <w:numId w:val="2"/>
        </w:numPr>
        <w:tabs>
          <w:tab w:val="left" w:pos="28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53B2C">
        <w:rPr>
          <w:rFonts w:ascii="Garamond" w:hAnsi="Garamond"/>
          <w:sz w:val="24"/>
          <w:szCs w:val="24"/>
        </w:rPr>
        <w:t>Process for evaluating identified safety concerns through the agency's SRM process</w:t>
      </w:r>
    </w:p>
    <w:p w:rsidR="00D53B2C" w:rsidRPr="00D53B2C" w:rsidRDefault="00D53B2C" w:rsidP="00D53B2C">
      <w:pPr>
        <w:pStyle w:val="ListParagraph"/>
        <w:numPr>
          <w:ilvl w:val="0"/>
          <w:numId w:val="2"/>
        </w:numPr>
        <w:tabs>
          <w:tab w:val="left" w:pos="28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53B2C">
        <w:rPr>
          <w:rFonts w:ascii="Garamond" w:hAnsi="Garamond"/>
          <w:sz w:val="24"/>
          <w:szCs w:val="24"/>
        </w:rPr>
        <w:t>Process for monitoring operations to identify safety risk mitigations that may be ineffective, inappropriate, or not implemented as intended, including:</w:t>
      </w:r>
    </w:p>
    <w:p w:rsidR="00D53B2C" w:rsidRPr="00D53B2C" w:rsidRDefault="00D53B2C" w:rsidP="00D53B2C">
      <w:pPr>
        <w:pStyle w:val="ListParagraph"/>
        <w:numPr>
          <w:ilvl w:val="1"/>
          <w:numId w:val="2"/>
        </w:numPr>
        <w:tabs>
          <w:tab w:val="left" w:pos="28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53B2C">
        <w:rPr>
          <w:rFonts w:ascii="Garamond" w:hAnsi="Garamond"/>
          <w:sz w:val="24"/>
          <w:szCs w:val="24"/>
        </w:rPr>
        <w:t>Methods, tools, forms, and criteria for documenting and monitoring mitigations</w:t>
      </w:r>
    </w:p>
    <w:p w:rsidR="00D53B2C" w:rsidRPr="00D53B2C" w:rsidRDefault="00D53B2C" w:rsidP="00D53B2C">
      <w:pPr>
        <w:pStyle w:val="ListParagraph"/>
        <w:numPr>
          <w:ilvl w:val="1"/>
          <w:numId w:val="2"/>
        </w:numPr>
        <w:tabs>
          <w:tab w:val="left" w:pos="28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53B2C">
        <w:rPr>
          <w:rFonts w:ascii="Garamond" w:hAnsi="Garamond"/>
          <w:sz w:val="24"/>
          <w:szCs w:val="24"/>
        </w:rPr>
        <w:t>Criteria for identifying ineffective and inappropriate mitigations and those that are not performing as intended</w:t>
      </w:r>
    </w:p>
    <w:p w:rsidR="00D53B2C" w:rsidRPr="00D53B2C" w:rsidRDefault="00D53B2C" w:rsidP="00D53B2C">
      <w:pPr>
        <w:pStyle w:val="ListParagraph"/>
        <w:numPr>
          <w:ilvl w:val="1"/>
          <w:numId w:val="2"/>
        </w:numPr>
        <w:tabs>
          <w:tab w:val="left" w:pos="28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53B2C">
        <w:rPr>
          <w:rFonts w:ascii="Garamond" w:hAnsi="Garamond"/>
          <w:sz w:val="24"/>
          <w:szCs w:val="24"/>
        </w:rPr>
        <w:t>Safety performance measures and targets and other means used to evaluate the effectiveness, appropriateness, and implementation of mitigations</w:t>
      </w:r>
    </w:p>
    <w:p w:rsidR="00D53B2C" w:rsidRPr="00D53B2C" w:rsidRDefault="00D53B2C" w:rsidP="00D53B2C">
      <w:pPr>
        <w:pStyle w:val="ListParagraph"/>
        <w:numPr>
          <w:ilvl w:val="1"/>
          <w:numId w:val="2"/>
        </w:numPr>
        <w:tabs>
          <w:tab w:val="left" w:pos="28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53B2C">
        <w:rPr>
          <w:rFonts w:ascii="Garamond" w:hAnsi="Garamond"/>
          <w:sz w:val="24"/>
          <w:szCs w:val="24"/>
        </w:rPr>
        <w:t>Process for documenting and resolving ineffective, inappropriate or poorly performing mitigations</w:t>
      </w:r>
    </w:p>
    <w:p w:rsidR="00D53B2C" w:rsidRPr="00D53B2C" w:rsidRDefault="00D53B2C" w:rsidP="00D53B2C">
      <w:pPr>
        <w:pStyle w:val="ListParagraph"/>
        <w:numPr>
          <w:ilvl w:val="1"/>
          <w:numId w:val="2"/>
        </w:numPr>
        <w:tabs>
          <w:tab w:val="left" w:pos="28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53B2C">
        <w:rPr>
          <w:rFonts w:ascii="Garamond" w:hAnsi="Garamond"/>
          <w:sz w:val="24"/>
          <w:szCs w:val="24"/>
        </w:rPr>
        <w:t>Process for evaluating identified safety concerns through the agency's SRM process</w:t>
      </w:r>
    </w:p>
    <w:p w:rsidR="00D53B2C" w:rsidRPr="00D53B2C" w:rsidRDefault="00D53B2C" w:rsidP="00D53B2C">
      <w:pPr>
        <w:pStyle w:val="ListParagraph"/>
        <w:numPr>
          <w:ilvl w:val="0"/>
          <w:numId w:val="2"/>
        </w:numPr>
        <w:tabs>
          <w:tab w:val="left" w:pos="28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53B2C">
        <w:rPr>
          <w:rFonts w:ascii="Garamond" w:hAnsi="Garamond"/>
          <w:sz w:val="24"/>
          <w:szCs w:val="24"/>
        </w:rPr>
        <w:t>Approach for conducting investigations of safety events to identify causal factors, including:</w:t>
      </w:r>
    </w:p>
    <w:p w:rsidR="00D53B2C" w:rsidRPr="00D53B2C" w:rsidRDefault="00D53B2C" w:rsidP="00D53B2C">
      <w:pPr>
        <w:pStyle w:val="ListParagraph"/>
        <w:numPr>
          <w:ilvl w:val="1"/>
          <w:numId w:val="2"/>
        </w:numPr>
        <w:tabs>
          <w:tab w:val="left" w:pos="28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53B2C">
        <w:rPr>
          <w:rFonts w:ascii="Garamond" w:hAnsi="Garamond"/>
          <w:sz w:val="24"/>
          <w:szCs w:val="24"/>
        </w:rPr>
        <w:t>Investigation procedures, forms, checklists, report templates, and completed reports</w:t>
      </w:r>
    </w:p>
    <w:p w:rsidR="00D53B2C" w:rsidRPr="00D53B2C" w:rsidRDefault="00D53B2C" w:rsidP="00D53B2C">
      <w:pPr>
        <w:pStyle w:val="ListParagraph"/>
        <w:numPr>
          <w:ilvl w:val="1"/>
          <w:numId w:val="2"/>
        </w:numPr>
        <w:tabs>
          <w:tab w:val="left" w:pos="28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53B2C">
        <w:rPr>
          <w:rFonts w:ascii="Garamond" w:hAnsi="Garamond"/>
          <w:sz w:val="24"/>
          <w:szCs w:val="24"/>
        </w:rPr>
        <w:t>Supporting materials for conducting investigations (e.g., driver and witness statements, supervisor reports, police reports, camera footage and electronic device recordings and records, photographs, analysis reports)</w:t>
      </w:r>
    </w:p>
    <w:p w:rsidR="00D53B2C" w:rsidRPr="00D53B2C" w:rsidRDefault="00D53B2C" w:rsidP="00D53B2C">
      <w:pPr>
        <w:pStyle w:val="ListParagraph"/>
        <w:numPr>
          <w:ilvl w:val="1"/>
          <w:numId w:val="2"/>
        </w:numPr>
        <w:tabs>
          <w:tab w:val="left" w:pos="28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53B2C">
        <w:rPr>
          <w:rFonts w:ascii="Garamond" w:hAnsi="Garamond"/>
          <w:sz w:val="24"/>
          <w:szCs w:val="24"/>
        </w:rPr>
        <w:t>Method for documenting mitigations in place at the time of the safety event and for assessing their effectiveness</w:t>
      </w:r>
    </w:p>
    <w:p w:rsidR="00D53B2C" w:rsidRPr="00D53B2C" w:rsidRDefault="00D53B2C" w:rsidP="00D53B2C">
      <w:pPr>
        <w:pStyle w:val="ListParagraph"/>
        <w:numPr>
          <w:ilvl w:val="1"/>
          <w:numId w:val="2"/>
        </w:numPr>
        <w:tabs>
          <w:tab w:val="left" w:pos="28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53B2C">
        <w:rPr>
          <w:rFonts w:ascii="Garamond" w:hAnsi="Garamond"/>
          <w:sz w:val="24"/>
          <w:szCs w:val="24"/>
        </w:rPr>
        <w:t>Process for identifying, documenting, and addressing causal factors</w:t>
      </w:r>
    </w:p>
    <w:p w:rsidR="00D53B2C" w:rsidRPr="00D53B2C" w:rsidRDefault="00D53B2C" w:rsidP="00D53B2C">
      <w:pPr>
        <w:pStyle w:val="ListParagraph"/>
        <w:numPr>
          <w:ilvl w:val="1"/>
          <w:numId w:val="2"/>
        </w:numPr>
        <w:tabs>
          <w:tab w:val="left" w:pos="28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53B2C">
        <w:rPr>
          <w:rFonts w:ascii="Garamond" w:hAnsi="Garamond"/>
          <w:sz w:val="24"/>
          <w:szCs w:val="24"/>
        </w:rPr>
        <w:t>Process for evaluating identified safety concerns through the agency's SRM process</w:t>
      </w:r>
    </w:p>
    <w:p w:rsidR="00D53B2C" w:rsidRPr="00D53B2C" w:rsidRDefault="00D53B2C" w:rsidP="00D53B2C">
      <w:pPr>
        <w:pStyle w:val="ListParagraph"/>
        <w:numPr>
          <w:ilvl w:val="0"/>
          <w:numId w:val="2"/>
        </w:numPr>
        <w:tabs>
          <w:tab w:val="left" w:pos="28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53B2C">
        <w:rPr>
          <w:rFonts w:ascii="Garamond" w:hAnsi="Garamond"/>
          <w:sz w:val="24"/>
          <w:szCs w:val="24"/>
        </w:rPr>
        <w:t>Process for monitoring information reported through any internal safety reporting programs, including:</w:t>
      </w:r>
    </w:p>
    <w:p w:rsidR="00D53B2C" w:rsidRPr="00D53B2C" w:rsidRDefault="00D53B2C" w:rsidP="00D53B2C">
      <w:pPr>
        <w:pStyle w:val="ListParagraph"/>
        <w:numPr>
          <w:ilvl w:val="1"/>
          <w:numId w:val="2"/>
        </w:numPr>
        <w:tabs>
          <w:tab w:val="left" w:pos="28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53B2C">
        <w:rPr>
          <w:rFonts w:ascii="Garamond" w:hAnsi="Garamond"/>
          <w:sz w:val="24"/>
          <w:szCs w:val="24"/>
        </w:rPr>
        <w:t>List of internal safety reporting programs to be monitored</w:t>
      </w:r>
    </w:p>
    <w:p w:rsidR="00D53B2C" w:rsidRPr="00D53B2C" w:rsidRDefault="00D53B2C" w:rsidP="00D53B2C">
      <w:pPr>
        <w:pStyle w:val="ListParagraph"/>
        <w:numPr>
          <w:ilvl w:val="1"/>
          <w:numId w:val="2"/>
        </w:numPr>
        <w:tabs>
          <w:tab w:val="left" w:pos="28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53B2C">
        <w:rPr>
          <w:rFonts w:ascii="Garamond" w:hAnsi="Garamond"/>
          <w:sz w:val="24"/>
          <w:szCs w:val="24"/>
        </w:rPr>
        <w:t>Process for reviewing, managing and responding to information captured in the Employee Safety Reporting Program</w:t>
      </w:r>
    </w:p>
    <w:p w:rsidR="00D53B2C" w:rsidRPr="00D53B2C" w:rsidRDefault="00D53B2C" w:rsidP="00D53B2C">
      <w:pPr>
        <w:pStyle w:val="ListParagraph"/>
        <w:numPr>
          <w:ilvl w:val="1"/>
          <w:numId w:val="2"/>
        </w:numPr>
        <w:tabs>
          <w:tab w:val="left" w:pos="28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53B2C">
        <w:rPr>
          <w:rFonts w:ascii="Garamond" w:hAnsi="Garamond"/>
          <w:sz w:val="24"/>
          <w:szCs w:val="24"/>
        </w:rPr>
        <w:t>Process for reviewing, managing, and responding to information from other reporting programs at the agency</w:t>
      </w:r>
    </w:p>
    <w:p w:rsidR="00D53B2C" w:rsidRPr="00D53B2C" w:rsidRDefault="00D53B2C" w:rsidP="00D53B2C">
      <w:pPr>
        <w:pStyle w:val="ListParagraph"/>
        <w:numPr>
          <w:ilvl w:val="1"/>
          <w:numId w:val="2"/>
        </w:numPr>
        <w:tabs>
          <w:tab w:val="left" w:pos="28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53B2C">
        <w:rPr>
          <w:rFonts w:ascii="Garamond" w:hAnsi="Garamond"/>
          <w:sz w:val="24"/>
          <w:szCs w:val="24"/>
        </w:rPr>
        <w:t>Process for evaluating identified safety concerns through the agency's SRM process</w:t>
      </w:r>
    </w:p>
    <w:p w:rsidR="00F013EA" w:rsidRDefault="00F013EA"/>
    <w:sectPr w:rsidR="00F01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441F"/>
    <w:multiLevelType w:val="hybridMultilevel"/>
    <w:tmpl w:val="49D49864"/>
    <w:lvl w:ilvl="0" w:tplc="EFF66B7A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86302"/>
    <w:multiLevelType w:val="hybridMultilevel"/>
    <w:tmpl w:val="3FFE688C"/>
    <w:lvl w:ilvl="0" w:tplc="EFF66B7A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2C"/>
    <w:rsid w:val="00004386"/>
    <w:rsid w:val="00004A7D"/>
    <w:rsid w:val="00006079"/>
    <w:rsid w:val="00011A2D"/>
    <w:rsid w:val="000162D2"/>
    <w:rsid w:val="00027619"/>
    <w:rsid w:val="00031604"/>
    <w:rsid w:val="000324BD"/>
    <w:rsid w:val="00057414"/>
    <w:rsid w:val="00057ECD"/>
    <w:rsid w:val="0006089E"/>
    <w:rsid w:val="00070804"/>
    <w:rsid w:val="00071805"/>
    <w:rsid w:val="00072B1D"/>
    <w:rsid w:val="000A0F73"/>
    <w:rsid w:val="000A494B"/>
    <w:rsid w:val="000A7A41"/>
    <w:rsid w:val="000B191B"/>
    <w:rsid w:val="000B1F4F"/>
    <w:rsid w:val="000B2703"/>
    <w:rsid w:val="000B77F5"/>
    <w:rsid w:val="000C019B"/>
    <w:rsid w:val="000D7459"/>
    <w:rsid w:val="00107D3C"/>
    <w:rsid w:val="001321A8"/>
    <w:rsid w:val="001364C6"/>
    <w:rsid w:val="00140BFE"/>
    <w:rsid w:val="001460C4"/>
    <w:rsid w:val="00151346"/>
    <w:rsid w:val="00153BB6"/>
    <w:rsid w:val="001653DF"/>
    <w:rsid w:val="00170BD6"/>
    <w:rsid w:val="001732B1"/>
    <w:rsid w:val="00176FBC"/>
    <w:rsid w:val="001810C2"/>
    <w:rsid w:val="001835D4"/>
    <w:rsid w:val="00183DD8"/>
    <w:rsid w:val="001979AD"/>
    <w:rsid w:val="001A1670"/>
    <w:rsid w:val="001B5D9E"/>
    <w:rsid w:val="001D6B47"/>
    <w:rsid w:val="001E0FE5"/>
    <w:rsid w:val="00207688"/>
    <w:rsid w:val="002123B1"/>
    <w:rsid w:val="00217E9A"/>
    <w:rsid w:val="00220148"/>
    <w:rsid w:val="00220179"/>
    <w:rsid w:val="002219DB"/>
    <w:rsid w:val="002256AD"/>
    <w:rsid w:val="002262EA"/>
    <w:rsid w:val="00226A46"/>
    <w:rsid w:val="00227443"/>
    <w:rsid w:val="002330BB"/>
    <w:rsid w:val="002448F2"/>
    <w:rsid w:val="0024553B"/>
    <w:rsid w:val="00254F3F"/>
    <w:rsid w:val="00257F0E"/>
    <w:rsid w:val="0026381B"/>
    <w:rsid w:val="002713D4"/>
    <w:rsid w:val="0028089F"/>
    <w:rsid w:val="00280DCD"/>
    <w:rsid w:val="002831FA"/>
    <w:rsid w:val="0028365E"/>
    <w:rsid w:val="00287B6B"/>
    <w:rsid w:val="002A6DA8"/>
    <w:rsid w:val="002B0BFD"/>
    <w:rsid w:val="002B58B1"/>
    <w:rsid w:val="002B5ECF"/>
    <w:rsid w:val="002C32FB"/>
    <w:rsid w:val="002D3458"/>
    <w:rsid w:val="002D642F"/>
    <w:rsid w:val="0031263D"/>
    <w:rsid w:val="00323224"/>
    <w:rsid w:val="003232B0"/>
    <w:rsid w:val="003408F8"/>
    <w:rsid w:val="00352BE7"/>
    <w:rsid w:val="00360081"/>
    <w:rsid w:val="003626E8"/>
    <w:rsid w:val="00365BFD"/>
    <w:rsid w:val="00367ED9"/>
    <w:rsid w:val="00372878"/>
    <w:rsid w:val="0038010E"/>
    <w:rsid w:val="00380FEF"/>
    <w:rsid w:val="003B3806"/>
    <w:rsid w:val="003C1B72"/>
    <w:rsid w:val="003C33EB"/>
    <w:rsid w:val="003D481B"/>
    <w:rsid w:val="003E6E01"/>
    <w:rsid w:val="003F23C3"/>
    <w:rsid w:val="003F704D"/>
    <w:rsid w:val="004041CA"/>
    <w:rsid w:val="004214B1"/>
    <w:rsid w:val="004228F0"/>
    <w:rsid w:val="004329AD"/>
    <w:rsid w:val="004346FD"/>
    <w:rsid w:val="004374EB"/>
    <w:rsid w:val="00444B23"/>
    <w:rsid w:val="00445171"/>
    <w:rsid w:val="00450B6B"/>
    <w:rsid w:val="00450DFB"/>
    <w:rsid w:val="0045519D"/>
    <w:rsid w:val="004624AE"/>
    <w:rsid w:val="00466096"/>
    <w:rsid w:val="0046659D"/>
    <w:rsid w:val="00467FC0"/>
    <w:rsid w:val="0047256B"/>
    <w:rsid w:val="00495F08"/>
    <w:rsid w:val="00496D87"/>
    <w:rsid w:val="004970DB"/>
    <w:rsid w:val="004B58E8"/>
    <w:rsid w:val="004C195A"/>
    <w:rsid w:val="004C3356"/>
    <w:rsid w:val="004E0402"/>
    <w:rsid w:val="004E259B"/>
    <w:rsid w:val="00505DF5"/>
    <w:rsid w:val="00512B6D"/>
    <w:rsid w:val="00520867"/>
    <w:rsid w:val="005272F2"/>
    <w:rsid w:val="0054203D"/>
    <w:rsid w:val="00546C9F"/>
    <w:rsid w:val="0055204B"/>
    <w:rsid w:val="00554ED3"/>
    <w:rsid w:val="00562BD9"/>
    <w:rsid w:val="005636F6"/>
    <w:rsid w:val="0057280C"/>
    <w:rsid w:val="00577F50"/>
    <w:rsid w:val="0059157D"/>
    <w:rsid w:val="005975D8"/>
    <w:rsid w:val="00597A5F"/>
    <w:rsid w:val="005A179A"/>
    <w:rsid w:val="005A2BDA"/>
    <w:rsid w:val="005A3D63"/>
    <w:rsid w:val="005B05AC"/>
    <w:rsid w:val="005B093A"/>
    <w:rsid w:val="005B2282"/>
    <w:rsid w:val="005C015B"/>
    <w:rsid w:val="005E28FE"/>
    <w:rsid w:val="005E3CC2"/>
    <w:rsid w:val="005E6169"/>
    <w:rsid w:val="005F3DEE"/>
    <w:rsid w:val="00611420"/>
    <w:rsid w:val="00613417"/>
    <w:rsid w:val="006145CB"/>
    <w:rsid w:val="006250E9"/>
    <w:rsid w:val="006276F4"/>
    <w:rsid w:val="00637D32"/>
    <w:rsid w:val="00667211"/>
    <w:rsid w:val="0066739C"/>
    <w:rsid w:val="00670FD9"/>
    <w:rsid w:val="00682C93"/>
    <w:rsid w:val="00691F59"/>
    <w:rsid w:val="006941A8"/>
    <w:rsid w:val="006A31C3"/>
    <w:rsid w:val="006B11F0"/>
    <w:rsid w:val="006C5332"/>
    <w:rsid w:val="006C5436"/>
    <w:rsid w:val="006C6096"/>
    <w:rsid w:val="006D007C"/>
    <w:rsid w:val="006D02F1"/>
    <w:rsid w:val="006D23DC"/>
    <w:rsid w:val="006D67D2"/>
    <w:rsid w:val="006D6967"/>
    <w:rsid w:val="006D7DE6"/>
    <w:rsid w:val="006E6F69"/>
    <w:rsid w:val="006E76CF"/>
    <w:rsid w:val="006F2A90"/>
    <w:rsid w:val="006F634A"/>
    <w:rsid w:val="006F6A7E"/>
    <w:rsid w:val="0070244E"/>
    <w:rsid w:val="00702B45"/>
    <w:rsid w:val="00717F7C"/>
    <w:rsid w:val="00727B2B"/>
    <w:rsid w:val="0073047B"/>
    <w:rsid w:val="007307DD"/>
    <w:rsid w:val="00751B7C"/>
    <w:rsid w:val="00752B65"/>
    <w:rsid w:val="0075669A"/>
    <w:rsid w:val="007611FC"/>
    <w:rsid w:val="00766B8E"/>
    <w:rsid w:val="0077058F"/>
    <w:rsid w:val="0077557F"/>
    <w:rsid w:val="00782872"/>
    <w:rsid w:val="0078572E"/>
    <w:rsid w:val="00794628"/>
    <w:rsid w:val="007A16F4"/>
    <w:rsid w:val="007B0292"/>
    <w:rsid w:val="007B1882"/>
    <w:rsid w:val="007B5FD0"/>
    <w:rsid w:val="007C1CCE"/>
    <w:rsid w:val="007C5222"/>
    <w:rsid w:val="007D1DD4"/>
    <w:rsid w:val="007E7297"/>
    <w:rsid w:val="007F1223"/>
    <w:rsid w:val="007F277C"/>
    <w:rsid w:val="007F4020"/>
    <w:rsid w:val="007F475D"/>
    <w:rsid w:val="007F4971"/>
    <w:rsid w:val="0080224C"/>
    <w:rsid w:val="0080744A"/>
    <w:rsid w:val="008101E8"/>
    <w:rsid w:val="00827B43"/>
    <w:rsid w:val="00847754"/>
    <w:rsid w:val="008564AA"/>
    <w:rsid w:val="0087321D"/>
    <w:rsid w:val="008760E5"/>
    <w:rsid w:val="008823B1"/>
    <w:rsid w:val="00892DCE"/>
    <w:rsid w:val="00893808"/>
    <w:rsid w:val="008B3663"/>
    <w:rsid w:val="008B483A"/>
    <w:rsid w:val="008B79DF"/>
    <w:rsid w:val="008B7ED1"/>
    <w:rsid w:val="008C3C8C"/>
    <w:rsid w:val="008D17A9"/>
    <w:rsid w:val="008E5442"/>
    <w:rsid w:val="008E58BE"/>
    <w:rsid w:val="008F6632"/>
    <w:rsid w:val="009103AC"/>
    <w:rsid w:val="009165A1"/>
    <w:rsid w:val="009165CB"/>
    <w:rsid w:val="0091788D"/>
    <w:rsid w:val="00922C76"/>
    <w:rsid w:val="00927020"/>
    <w:rsid w:val="009355DB"/>
    <w:rsid w:val="009420FF"/>
    <w:rsid w:val="00953F46"/>
    <w:rsid w:val="009637C2"/>
    <w:rsid w:val="00976799"/>
    <w:rsid w:val="00984E76"/>
    <w:rsid w:val="009967E4"/>
    <w:rsid w:val="009A7762"/>
    <w:rsid w:val="009D6B6A"/>
    <w:rsid w:val="009E0175"/>
    <w:rsid w:val="009E2182"/>
    <w:rsid w:val="009E49D3"/>
    <w:rsid w:val="00A00418"/>
    <w:rsid w:val="00A04AB1"/>
    <w:rsid w:val="00A05587"/>
    <w:rsid w:val="00A06BBF"/>
    <w:rsid w:val="00A1481D"/>
    <w:rsid w:val="00A15C70"/>
    <w:rsid w:val="00A1629C"/>
    <w:rsid w:val="00A24089"/>
    <w:rsid w:val="00A4009F"/>
    <w:rsid w:val="00A4549F"/>
    <w:rsid w:val="00A47BE4"/>
    <w:rsid w:val="00A47CC3"/>
    <w:rsid w:val="00A5241D"/>
    <w:rsid w:val="00A52688"/>
    <w:rsid w:val="00A572CF"/>
    <w:rsid w:val="00A57723"/>
    <w:rsid w:val="00A600D1"/>
    <w:rsid w:val="00A611F8"/>
    <w:rsid w:val="00A61F1A"/>
    <w:rsid w:val="00A67C73"/>
    <w:rsid w:val="00A75E26"/>
    <w:rsid w:val="00A76BED"/>
    <w:rsid w:val="00A81B38"/>
    <w:rsid w:val="00A83ADC"/>
    <w:rsid w:val="00A900DD"/>
    <w:rsid w:val="00A936FD"/>
    <w:rsid w:val="00A95248"/>
    <w:rsid w:val="00AA05AB"/>
    <w:rsid w:val="00AA10CA"/>
    <w:rsid w:val="00AA170E"/>
    <w:rsid w:val="00AA368F"/>
    <w:rsid w:val="00AA534D"/>
    <w:rsid w:val="00AB2609"/>
    <w:rsid w:val="00AC6F25"/>
    <w:rsid w:val="00AE3478"/>
    <w:rsid w:val="00AF1607"/>
    <w:rsid w:val="00AF4F60"/>
    <w:rsid w:val="00B01F19"/>
    <w:rsid w:val="00B230CD"/>
    <w:rsid w:val="00B24F85"/>
    <w:rsid w:val="00B30464"/>
    <w:rsid w:val="00B42169"/>
    <w:rsid w:val="00B52B77"/>
    <w:rsid w:val="00B63846"/>
    <w:rsid w:val="00B641C3"/>
    <w:rsid w:val="00B70281"/>
    <w:rsid w:val="00B804ED"/>
    <w:rsid w:val="00B965F2"/>
    <w:rsid w:val="00B97995"/>
    <w:rsid w:val="00BA0B0B"/>
    <w:rsid w:val="00BB131A"/>
    <w:rsid w:val="00BB1E54"/>
    <w:rsid w:val="00BB6BE4"/>
    <w:rsid w:val="00BC1123"/>
    <w:rsid w:val="00BD550A"/>
    <w:rsid w:val="00BD5B5C"/>
    <w:rsid w:val="00BF26F9"/>
    <w:rsid w:val="00BF35BE"/>
    <w:rsid w:val="00BF4A11"/>
    <w:rsid w:val="00BF68F0"/>
    <w:rsid w:val="00C00930"/>
    <w:rsid w:val="00C02A45"/>
    <w:rsid w:val="00C07624"/>
    <w:rsid w:val="00C15139"/>
    <w:rsid w:val="00C2429E"/>
    <w:rsid w:val="00C263D9"/>
    <w:rsid w:val="00C26C00"/>
    <w:rsid w:val="00C357DE"/>
    <w:rsid w:val="00C370A1"/>
    <w:rsid w:val="00C37615"/>
    <w:rsid w:val="00C44AFE"/>
    <w:rsid w:val="00C5190C"/>
    <w:rsid w:val="00C66F3C"/>
    <w:rsid w:val="00C80E23"/>
    <w:rsid w:val="00C90D3C"/>
    <w:rsid w:val="00C95EAA"/>
    <w:rsid w:val="00CA07BD"/>
    <w:rsid w:val="00CA11D2"/>
    <w:rsid w:val="00CA78A1"/>
    <w:rsid w:val="00CD05B7"/>
    <w:rsid w:val="00CD1BC8"/>
    <w:rsid w:val="00CD4670"/>
    <w:rsid w:val="00CE39A4"/>
    <w:rsid w:val="00CF3363"/>
    <w:rsid w:val="00D05977"/>
    <w:rsid w:val="00D14967"/>
    <w:rsid w:val="00D16EBB"/>
    <w:rsid w:val="00D207F8"/>
    <w:rsid w:val="00D23E20"/>
    <w:rsid w:val="00D4044B"/>
    <w:rsid w:val="00D41980"/>
    <w:rsid w:val="00D434DA"/>
    <w:rsid w:val="00D53B2C"/>
    <w:rsid w:val="00D5791B"/>
    <w:rsid w:val="00DA09EA"/>
    <w:rsid w:val="00DA20BA"/>
    <w:rsid w:val="00DA6F5C"/>
    <w:rsid w:val="00DB6B13"/>
    <w:rsid w:val="00DB6BAD"/>
    <w:rsid w:val="00DC11BC"/>
    <w:rsid w:val="00DC4C14"/>
    <w:rsid w:val="00DC5493"/>
    <w:rsid w:val="00DD0605"/>
    <w:rsid w:val="00DF2AA9"/>
    <w:rsid w:val="00E025E0"/>
    <w:rsid w:val="00E07CEE"/>
    <w:rsid w:val="00E1013F"/>
    <w:rsid w:val="00E1270A"/>
    <w:rsid w:val="00E14862"/>
    <w:rsid w:val="00E1513D"/>
    <w:rsid w:val="00E23A87"/>
    <w:rsid w:val="00E2436C"/>
    <w:rsid w:val="00E34254"/>
    <w:rsid w:val="00E408BC"/>
    <w:rsid w:val="00E41C53"/>
    <w:rsid w:val="00E45310"/>
    <w:rsid w:val="00E45B59"/>
    <w:rsid w:val="00E517D0"/>
    <w:rsid w:val="00E5606C"/>
    <w:rsid w:val="00E61B41"/>
    <w:rsid w:val="00E7014A"/>
    <w:rsid w:val="00E83EFD"/>
    <w:rsid w:val="00E83FAE"/>
    <w:rsid w:val="00E864A5"/>
    <w:rsid w:val="00E87D1F"/>
    <w:rsid w:val="00E90CEB"/>
    <w:rsid w:val="00EA05AC"/>
    <w:rsid w:val="00EA0796"/>
    <w:rsid w:val="00EB3CDF"/>
    <w:rsid w:val="00EB42FE"/>
    <w:rsid w:val="00EC03E3"/>
    <w:rsid w:val="00EC2718"/>
    <w:rsid w:val="00ED44EC"/>
    <w:rsid w:val="00ED5100"/>
    <w:rsid w:val="00ED7833"/>
    <w:rsid w:val="00EE1384"/>
    <w:rsid w:val="00EE2086"/>
    <w:rsid w:val="00EF530A"/>
    <w:rsid w:val="00EF7B2B"/>
    <w:rsid w:val="00F013EA"/>
    <w:rsid w:val="00F01772"/>
    <w:rsid w:val="00F01D32"/>
    <w:rsid w:val="00F07E59"/>
    <w:rsid w:val="00F15EE6"/>
    <w:rsid w:val="00F364EC"/>
    <w:rsid w:val="00F46D87"/>
    <w:rsid w:val="00F536C3"/>
    <w:rsid w:val="00F61C89"/>
    <w:rsid w:val="00F62E42"/>
    <w:rsid w:val="00F70D63"/>
    <w:rsid w:val="00F729E6"/>
    <w:rsid w:val="00F80A66"/>
    <w:rsid w:val="00F97F66"/>
    <w:rsid w:val="00FA1F06"/>
    <w:rsid w:val="00FB0CF1"/>
    <w:rsid w:val="00FB544F"/>
    <w:rsid w:val="00FC589B"/>
    <w:rsid w:val="00FC7627"/>
    <w:rsid w:val="00FD02D2"/>
    <w:rsid w:val="00FD1497"/>
    <w:rsid w:val="00FD6A0E"/>
    <w:rsid w:val="00FE59A3"/>
    <w:rsid w:val="00FE7844"/>
    <w:rsid w:val="00FF047B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58421-CB2E-4476-A389-87AFF573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B2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835D4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35D4"/>
    <w:pPr>
      <w:keepNext/>
      <w:keepLines/>
      <w:spacing w:before="40" w:after="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C5332"/>
    <w:pPr>
      <w:keepNext/>
      <w:keepLines/>
      <w:spacing w:before="40" w:after="0"/>
      <w:outlineLvl w:val="2"/>
    </w:pPr>
    <w:rPr>
      <w:rFonts w:eastAsiaTheme="majorEastAsia" w:cstheme="majorBidi"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35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35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35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35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35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35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5D4"/>
    <w:pPr>
      <w:spacing w:after="0" w:line="240" w:lineRule="auto"/>
      <w:contextualSpacing/>
    </w:pPr>
    <w:rPr>
      <w:rFonts w:ascii="Garamond" w:hAnsi="Garamond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35D4"/>
    <w:rPr>
      <w:rFonts w:ascii="Segoe UI" w:eastAsiaTheme="majorEastAsia" w:hAnsi="Segoe U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35D4"/>
    <w:rPr>
      <w:rFonts w:ascii="Segoe UI" w:eastAsiaTheme="majorEastAsia" w:hAnsi="Segoe UI" w:cstheme="majorBidi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35D4"/>
    <w:pPr>
      <w:spacing w:after="0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35D4"/>
    <w:rPr>
      <w:rFonts w:ascii="Segoe UI" w:eastAsiaTheme="majorEastAsia" w:hAnsi="Segoe UI" w:cstheme="majorBidi"/>
      <w:b/>
      <w:spacing w:val="-10"/>
      <w:kern w:val="28"/>
      <w:sz w:val="56"/>
      <w:szCs w:val="56"/>
    </w:rPr>
  </w:style>
  <w:style w:type="paragraph" w:customStyle="1" w:styleId="SSO">
    <w:name w:val="SSO"/>
    <w:basedOn w:val="NoSpacing"/>
    <w:link w:val="SSOChar"/>
    <w:qFormat/>
    <w:rsid w:val="001835D4"/>
  </w:style>
  <w:style w:type="character" w:customStyle="1" w:styleId="SSOChar">
    <w:name w:val="SSO Char"/>
    <w:basedOn w:val="DefaultParagraphFont"/>
    <w:link w:val="SSO"/>
    <w:rsid w:val="001835D4"/>
    <w:rPr>
      <w:rFonts w:ascii="Garamond" w:hAnsi="Garamon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C5332"/>
    <w:rPr>
      <w:rFonts w:ascii="Segoe UI" w:eastAsiaTheme="majorEastAsia" w:hAnsi="Segoe UI" w:cstheme="majorBidi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35D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35D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35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35D4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35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35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35D4"/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35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35D4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835D4"/>
    <w:rPr>
      <w:b/>
      <w:bCs/>
    </w:rPr>
  </w:style>
  <w:style w:type="character" w:styleId="Emphasis">
    <w:name w:val="Emphasis"/>
    <w:basedOn w:val="DefaultParagraphFont"/>
    <w:uiPriority w:val="20"/>
    <w:qFormat/>
    <w:rsid w:val="001835D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835D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35D4"/>
    <w:rPr>
      <w:rFonts w:ascii="Segoe UI" w:hAnsi="Segoe UI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35D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35D4"/>
    <w:rPr>
      <w:rFonts w:ascii="Segoe UI" w:hAnsi="Segoe UI"/>
      <w:i/>
      <w:iCs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835D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835D4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1835D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835D4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835D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35D4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ListParagraph">
    <w:name w:val="List Paragraph"/>
    <w:basedOn w:val="Normal"/>
    <w:uiPriority w:val="34"/>
    <w:qFormat/>
    <w:rsid w:val="00D53B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1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1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nsit.dot.gov/regulations-and-guidance/safety/ptasp-hazards-and-consequences-self-guided-learning-too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transit.dot.gov/regulations-and-guidance/safety/public-transportation-agency-safety-program/safety-risk-management-fact-sheet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0CA329-5533-4CCF-83AE-3337AF6BCDCF}"/>
</file>

<file path=customXml/itemProps2.xml><?xml version="1.0" encoding="utf-8"?>
<ds:datastoreItem xmlns:ds="http://schemas.openxmlformats.org/officeDocument/2006/customXml" ds:itemID="{A9DE192A-FE93-49FA-99C1-2765B56D38FA}"/>
</file>

<file path=customXml/itemProps3.xml><?xml version="1.0" encoding="utf-8"?>
<ds:datastoreItem xmlns:ds="http://schemas.openxmlformats.org/officeDocument/2006/customXml" ds:itemID="{82BC61A6-8B4F-45B7-B113-6520E1667A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	Section 2 Guide – Safety Risk Management Checklist</vt:lpstr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WisDOT Section 2 Guide – Safety Risk Management Checklist</dc:title>
  <dc:subject/>
  <dc:creator>STOEGBAUER, ERIC</dc:creator>
  <cp:keywords/>
  <dc:description/>
  <cp:lastModifiedBy>Thyes, Dan - DOT</cp:lastModifiedBy>
  <cp:revision>4</cp:revision>
  <dcterms:created xsi:type="dcterms:W3CDTF">2019-11-05T18:54:00Z</dcterms:created>
  <dcterms:modified xsi:type="dcterms:W3CDTF">2020-01-28T14:40:00Z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