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2E" w:rsidRDefault="0073442E" w:rsidP="00507776">
      <w:pPr>
        <w:pStyle w:val="2Heading2"/>
      </w:pPr>
      <w:bookmarkStart w:id="0" w:name="_GoBack"/>
      <w:bookmarkEnd w:id="0"/>
      <w:r>
        <w:t>Non-Shrink Grout, Item SPV.0025.</w:t>
      </w:r>
      <w:r w:rsidR="00DC28D4">
        <w:t>xx</w:t>
      </w:r>
      <w:r w:rsidR="00825768">
        <w:t>.</w:t>
      </w:r>
    </w:p>
    <w:p w:rsidR="0073442E" w:rsidRDefault="0073442E" w:rsidP="00DC28D4">
      <w:pPr>
        <w:rPr>
          <w:rFonts w:cs="Times New Roman"/>
          <w:b/>
          <w:bCs/>
        </w:rPr>
      </w:pPr>
      <w:r>
        <w:rPr>
          <w:rFonts w:cs="Times New Roman"/>
          <w:b/>
          <w:bCs/>
        </w:rPr>
        <w:t>A  Description</w:t>
      </w:r>
    </w:p>
    <w:p w:rsidR="0073442E" w:rsidRDefault="0073442E" w:rsidP="00DC28D4">
      <w:pPr>
        <w:rPr>
          <w:rFonts w:cs="Times New Roman"/>
        </w:rPr>
      </w:pPr>
      <w:r>
        <w:rPr>
          <w:rFonts w:cs="Times New Roman"/>
        </w:rPr>
        <w:t xml:space="preserve">This </w:t>
      </w:r>
      <w:r w:rsidR="00FB5E44">
        <w:rPr>
          <w:rFonts w:cs="Times New Roman"/>
        </w:rPr>
        <w:t>special provision describes f</w:t>
      </w:r>
      <w:r>
        <w:rPr>
          <w:rFonts w:cs="Times New Roman"/>
        </w:rPr>
        <w:t xml:space="preserve">urnishing </w:t>
      </w:r>
      <w:r w:rsidR="00FB5E44">
        <w:rPr>
          <w:rFonts w:cs="Times New Roman"/>
        </w:rPr>
        <w:t>an</w:t>
      </w:r>
      <w:r>
        <w:rPr>
          <w:rFonts w:cs="Times New Roman"/>
        </w:rPr>
        <w:t xml:space="preserve">d placing </w:t>
      </w:r>
      <w:r w:rsidR="00DC28D4">
        <w:rPr>
          <w:rFonts w:cs="Times New Roman"/>
        </w:rPr>
        <w:t>n</w:t>
      </w:r>
      <w:r>
        <w:rPr>
          <w:rFonts w:cs="Times New Roman"/>
        </w:rPr>
        <w:t>on-</w:t>
      </w:r>
      <w:r w:rsidR="00DC28D4">
        <w:rPr>
          <w:rFonts w:cs="Times New Roman"/>
        </w:rPr>
        <w:t>s</w:t>
      </w:r>
      <w:r>
        <w:rPr>
          <w:rFonts w:cs="Times New Roman"/>
        </w:rPr>
        <w:t xml:space="preserve">hrink </w:t>
      </w:r>
      <w:r w:rsidR="00DC28D4">
        <w:rPr>
          <w:rFonts w:cs="Times New Roman"/>
        </w:rPr>
        <w:t>g</w:t>
      </w:r>
      <w:r>
        <w:rPr>
          <w:rFonts w:cs="Times New Roman"/>
        </w:rPr>
        <w:t>rout.</w:t>
      </w:r>
    </w:p>
    <w:p w:rsidR="0073442E" w:rsidRDefault="0073442E" w:rsidP="00DC28D4">
      <w:pPr>
        <w:rPr>
          <w:rFonts w:cs="Times New Roman"/>
        </w:rPr>
      </w:pPr>
    </w:p>
    <w:p w:rsidR="0073442E" w:rsidRDefault="0073442E" w:rsidP="00DC28D4">
      <w:pPr>
        <w:rPr>
          <w:rFonts w:cs="Times New Roman"/>
          <w:b/>
          <w:bCs/>
        </w:rPr>
      </w:pPr>
      <w:r>
        <w:rPr>
          <w:rFonts w:cs="Times New Roman"/>
          <w:b/>
          <w:bCs/>
        </w:rPr>
        <w:t>B  Material</w:t>
      </w:r>
    </w:p>
    <w:p w:rsidR="0073442E" w:rsidRDefault="00A0557E" w:rsidP="00DC28D4">
      <w:pPr>
        <w:tabs>
          <w:tab w:val="left" w:pos="-3870"/>
        </w:tabs>
        <w:rPr>
          <w:rFonts w:cs="Times New Roman"/>
        </w:rPr>
      </w:pPr>
      <w:r>
        <w:rPr>
          <w:rFonts w:cs="Times New Roman"/>
        </w:rPr>
        <w:t xml:space="preserve">Furnish a </w:t>
      </w:r>
      <w:r w:rsidR="0073442E">
        <w:rPr>
          <w:rFonts w:cs="Times New Roman"/>
        </w:rPr>
        <w:t xml:space="preserve">quick-setting, rapid strength gain, </w:t>
      </w:r>
      <w:r>
        <w:rPr>
          <w:rFonts w:cs="Times New Roman"/>
        </w:rPr>
        <w:t xml:space="preserve">and </w:t>
      </w:r>
      <w:r w:rsidR="0073442E">
        <w:rPr>
          <w:rFonts w:cs="Times New Roman"/>
        </w:rPr>
        <w:t xml:space="preserve">high-bond strength </w:t>
      </w:r>
      <w:r>
        <w:rPr>
          <w:rFonts w:cs="Times New Roman"/>
        </w:rPr>
        <w:t xml:space="preserve">non-shrink </w:t>
      </w:r>
      <w:r w:rsidR="0073442E">
        <w:rPr>
          <w:rFonts w:cs="Times New Roman"/>
        </w:rPr>
        <w:t>grout.  Grout shall not contain calcium chloride or admixture containing calcium chloride or other ingredient in sufficient quantity to cause corrosion to steel reinforcement.  Mix grout just prior to use according to the manufacturer’s instructions.  Follow manufacturer’s recommendation for dosage of corrosion inhibitor admixture.</w:t>
      </w:r>
    </w:p>
    <w:p w:rsidR="0073442E" w:rsidRDefault="0073442E" w:rsidP="00DC28D4">
      <w:pPr>
        <w:ind w:left="360" w:hanging="360"/>
        <w:rPr>
          <w:rFonts w:ascii="Arial" w:hAnsi="Arial" w:cs="Arial"/>
          <w:sz w:val="20"/>
          <w:szCs w:val="20"/>
        </w:rPr>
      </w:pPr>
    </w:p>
    <w:p w:rsidR="0073442E" w:rsidRDefault="0073442E" w:rsidP="00DC28D4">
      <w:pPr>
        <w:rPr>
          <w:rFonts w:cs="Times New Roman"/>
        </w:rPr>
      </w:pPr>
      <w:r>
        <w:rPr>
          <w:rFonts w:cs="Times New Roman"/>
        </w:rPr>
        <w:t xml:space="preserve">Use structural non-shrink grout that meets a minimum compressive strength of 4,000 psi within 24 hours when tested as specified in AASHTO T 106.  Meet all the requirements of AASHTO T 160 with the exception that the </w:t>
      </w:r>
      <w:r w:rsidR="00EE4F73">
        <w:rPr>
          <w:rFonts w:cs="Times New Roman"/>
        </w:rPr>
        <w:t>c</w:t>
      </w:r>
      <w:r>
        <w:rPr>
          <w:rFonts w:cs="Times New Roman"/>
        </w:rPr>
        <w:t>ontractor-supplied cube molds will remain intact with a top firmly attached throughout the curing period.  Use structural non-shrink grout with no expansion after seven days.  Refer to Table 1 for structural non-shrink grout requirements.</w:t>
      </w:r>
    </w:p>
    <w:p w:rsidR="0073442E" w:rsidRDefault="0073442E" w:rsidP="00DC28D4">
      <w:pPr>
        <w:rPr>
          <w:rFonts w:cs="Times New Roman"/>
        </w:rPr>
      </w:pPr>
    </w:p>
    <w:p w:rsidR="0073442E" w:rsidRDefault="0073442E" w:rsidP="00DC28D4">
      <w:pPr>
        <w:tabs>
          <w:tab w:val="left" w:pos="450"/>
        </w:tabs>
        <w:rPr>
          <w:rFonts w:cs="Times New Roman"/>
          <w:b/>
          <w:bCs/>
        </w:rPr>
      </w:pPr>
      <w:r>
        <w:rPr>
          <w:rFonts w:cs="Times New Roman"/>
          <w:b/>
          <w:bCs/>
        </w:rPr>
        <w:t>Table 1</w:t>
      </w:r>
    </w:p>
    <w:tbl>
      <w:tblPr>
        <w:tblpPr w:leftFromText="180" w:rightFromText="180" w:vertAnchor="text" w:tblpXSpec="center" w:tblpY="1"/>
        <w:tblOverlap w:val="never"/>
        <w:tblW w:w="8152" w:type="dxa"/>
        <w:tblLayout w:type="fixed"/>
        <w:tblCellMar>
          <w:left w:w="120" w:type="dxa"/>
          <w:right w:w="120" w:type="dxa"/>
        </w:tblCellMar>
        <w:tblLook w:val="0000" w:firstRow="0" w:lastRow="0" w:firstColumn="0" w:lastColumn="0" w:noHBand="0" w:noVBand="0"/>
      </w:tblPr>
      <w:tblGrid>
        <w:gridCol w:w="2782"/>
        <w:gridCol w:w="2648"/>
        <w:gridCol w:w="1170"/>
        <w:gridCol w:w="1552"/>
      </w:tblGrid>
      <w:tr w:rsidR="0073442E" w:rsidTr="001F3E7A">
        <w:trPr>
          <w:trHeight w:val="360"/>
        </w:trPr>
        <w:tc>
          <w:tcPr>
            <w:tcW w:w="8152" w:type="dxa"/>
            <w:gridSpan w:val="4"/>
            <w:tcBorders>
              <w:top w:val="single" w:sz="6" w:space="0" w:color="000000"/>
              <w:left w:val="single" w:sz="6" w:space="0" w:color="000000"/>
              <w:bottom w:val="single" w:sz="6" w:space="0" w:color="000000"/>
              <w:right w:val="single" w:sz="6" w:space="0" w:color="000000"/>
            </w:tcBorders>
            <w:vAlign w:val="center"/>
          </w:tcPr>
          <w:p w:rsidR="0073442E" w:rsidRDefault="0073442E" w:rsidP="00DC28D4">
            <w:pPr>
              <w:tabs>
                <w:tab w:val="left" w:pos="450"/>
              </w:tabs>
              <w:ind w:left="360" w:hanging="360"/>
              <w:rPr>
                <w:rFonts w:cs="Times New Roman"/>
                <w:b/>
                <w:bCs/>
              </w:rPr>
            </w:pPr>
            <w:r>
              <w:rPr>
                <w:rFonts w:cs="Times New Roman"/>
                <w:b/>
                <w:bCs/>
              </w:rPr>
              <w:t>Structural Non-Shrink Grout</w:t>
            </w: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*Properties</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Requirements</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ASTM</w:t>
            </w: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AASHTO</w:t>
            </w: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Accelerated Weathering</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As Specified in</w:t>
            </w:r>
          </w:p>
          <w:p w:rsidR="0073442E" w:rsidRDefault="0073442E" w:rsidP="00EE4F73">
            <w:pPr>
              <w:tabs>
                <w:tab w:val="left" w:pos="450"/>
              </w:tabs>
              <w:ind w:left="360" w:hanging="360"/>
              <w:jc w:val="left"/>
              <w:rPr>
                <w:rFonts w:cs="Times New Roman"/>
              </w:rPr>
            </w:pPr>
            <w:r>
              <w:rPr>
                <w:rFonts w:cs="Times New Roman"/>
              </w:rPr>
              <w:t>ASTM or AASHTO</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C 666</w:t>
            </w: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T 260</w:t>
            </w: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Compressive Strength</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&gt;5,000 psi @ 28 days</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T 106</w:t>
            </w: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EE4F73" w:rsidP="00EE4F73">
            <w:pPr>
              <w:tabs>
                <w:tab w:val="left" w:pos="450"/>
              </w:tabs>
              <w:ind w:left="360" w:hanging="360"/>
              <w:jc w:val="left"/>
              <w:rPr>
                <w:rFonts w:cs="Times New Roman"/>
              </w:rPr>
            </w:pPr>
            <w:r>
              <w:rPr>
                <w:rFonts w:cs="Times New Roman"/>
              </w:rPr>
              <w:t xml:space="preserve">Accepted Bond </w:t>
            </w:r>
            <w:r w:rsidR="0073442E">
              <w:rPr>
                <w:rFonts w:cs="Times New Roman"/>
              </w:rPr>
              <w:t>Strengths</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&gt;1,000 psi @ 24 Hours</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C 882</w:t>
            </w: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Test Medium</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&lt;3% White Utah Road Salt</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T 161</w:t>
            </w: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Accepted Weight Loss</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&lt;15% @ 300 Cycles</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T 161</w:t>
            </w:r>
          </w:p>
        </w:tc>
      </w:tr>
      <w:tr w:rsidR="0073442E" w:rsidTr="00EE4F73">
        <w:trPr>
          <w:trHeight w:val="360"/>
        </w:trPr>
        <w:tc>
          <w:tcPr>
            <w:tcW w:w="278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Length Change</w:t>
            </w:r>
          </w:p>
        </w:tc>
        <w:tc>
          <w:tcPr>
            <w:tcW w:w="2648"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left"/>
              <w:rPr>
                <w:rFonts w:cs="Times New Roman"/>
              </w:rPr>
            </w:pPr>
            <w:r>
              <w:rPr>
                <w:rFonts w:cs="Times New Roman"/>
              </w:rPr>
              <w:t>No expansion after 7 days</w:t>
            </w:r>
          </w:p>
        </w:tc>
        <w:tc>
          <w:tcPr>
            <w:tcW w:w="1170"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p>
        </w:tc>
        <w:tc>
          <w:tcPr>
            <w:tcW w:w="1552" w:type="dxa"/>
            <w:tcBorders>
              <w:top w:val="single" w:sz="6" w:space="0" w:color="000000"/>
              <w:left w:val="single" w:sz="6" w:space="0" w:color="000000"/>
              <w:bottom w:val="single" w:sz="6" w:space="0" w:color="000000"/>
              <w:right w:val="single" w:sz="6" w:space="0" w:color="000000"/>
            </w:tcBorders>
            <w:vAlign w:val="center"/>
          </w:tcPr>
          <w:p w:rsidR="0073442E" w:rsidRDefault="0073442E" w:rsidP="00EE4F73">
            <w:pPr>
              <w:tabs>
                <w:tab w:val="left" w:pos="450"/>
              </w:tabs>
              <w:ind w:left="360" w:hanging="360"/>
              <w:jc w:val="center"/>
              <w:rPr>
                <w:rFonts w:cs="Times New Roman"/>
              </w:rPr>
            </w:pPr>
            <w:r>
              <w:rPr>
                <w:rFonts w:cs="Times New Roman"/>
              </w:rPr>
              <w:t>T 160</w:t>
            </w:r>
          </w:p>
        </w:tc>
      </w:tr>
    </w:tbl>
    <w:p w:rsidR="0073442E" w:rsidRDefault="0073442E" w:rsidP="00DC28D4">
      <w:pPr>
        <w:rPr>
          <w:rFonts w:cs="Times New Roman"/>
        </w:rPr>
      </w:pPr>
      <w:r>
        <w:rPr>
          <w:rFonts w:cs="Times New Roman"/>
        </w:rPr>
        <w:t>*Certified test results from a private AASHTO accredited testing laboratory will suffice for acceptance.</w:t>
      </w:r>
    </w:p>
    <w:p w:rsidR="0073442E" w:rsidRDefault="0073442E" w:rsidP="00DC28D4">
      <w:pPr>
        <w:rPr>
          <w:rFonts w:cs="Times New Roman"/>
        </w:rPr>
      </w:pPr>
    </w:p>
    <w:p w:rsidR="0073442E" w:rsidRDefault="0073442E" w:rsidP="00DC28D4">
      <w:pPr>
        <w:rPr>
          <w:rFonts w:cs="Times New Roman"/>
          <w:b/>
          <w:bCs/>
        </w:rPr>
      </w:pPr>
      <w:r>
        <w:rPr>
          <w:rFonts w:cs="Times New Roman"/>
          <w:b/>
          <w:bCs/>
        </w:rPr>
        <w:t>C  Construction</w:t>
      </w:r>
    </w:p>
    <w:p w:rsidR="0073442E" w:rsidRDefault="0073442E" w:rsidP="00DC28D4">
      <w:pPr>
        <w:rPr>
          <w:rFonts w:cs="Times New Roman"/>
        </w:rPr>
      </w:pPr>
      <w:r>
        <w:rPr>
          <w:rFonts w:cs="Times New Roman"/>
        </w:rPr>
        <w:t xml:space="preserve">Place Non-Shrink Grout </w:t>
      </w:r>
      <w:r w:rsidR="00A0557E">
        <w:rPr>
          <w:rFonts w:cs="Times New Roman"/>
        </w:rPr>
        <w:t>conforming to</w:t>
      </w:r>
      <w:r>
        <w:rPr>
          <w:rFonts w:cs="Times New Roman"/>
        </w:rPr>
        <w:t xml:space="preserve"> </w:t>
      </w:r>
      <w:r w:rsidR="00EE4F73">
        <w:rPr>
          <w:rFonts w:cs="Times New Roman"/>
        </w:rPr>
        <w:t>standard spec</w:t>
      </w:r>
      <w:r>
        <w:rPr>
          <w:rFonts w:cs="Times New Roman"/>
        </w:rPr>
        <w:t xml:space="preserve"> 501 and </w:t>
      </w:r>
      <w:r w:rsidR="00A0557E">
        <w:rPr>
          <w:rFonts w:cs="Times New Roman"/>
        </w:rPr>
        <w:t xml:space="preserve">standard spec </w:t>
      </w:r>
      <w:r>
        <w:rPr>
          <w:rFonts w:cs="Times New Roman"/>
        </w:rPr>
        <w:t>502</w:t>
      </w:r>
      <w:r w:rsidR="00EE4F73">
        <w:rPr>
          <w:rFonts w:cs="Times New Roman"/>
        </w:rPr>
        <w:t>,</w:t>
      </w:r>
      <w:r>
        <w:rPr>
          <w:rFonts w:cs="Times New Roman"/>
        </w:rPr>
        <w:t xml:space="preserve"> and as shown in the plans. </w:t>
      </w:r>
    </w:p>
    <w:p w:rsidR="0073442E" w:rsidRDefault="0073442E" w:rsidP="00DC28D4">
      <w:pPr>
        <w:rPr>
          <w:rFonts w:cs="Times New Roman"/>
        </w:rPr>
      </w:pPr>
    </w:p>
    <w:p w:rsidR="0073442E" w:rsidRDefault="0073442E" w:rsidP="00DC28D4">
      <w:pPr>
        <w:rPr>
          <w:rFonts w:cs="Times New Roman"/>
        </w:rPr>
      </w:pPr>
      <w:r>
        <w:rPr>
          <w:rFonts w:cs="Times New Roman"/>
          <w:b/>
          <w:bCs/>
        </w:rPr>
        <w:t>D  Measurement</w:t>
      </w:r>
    </w:p>
    <w:p w:rsidR="0073442E" w:rsidRDefault="0073442E" w:rsidP="00DC28D4">
      <w:pPr>
        <w:rPr>
          <w:rFonts w:cs="Times New Roman"/>
        </w:rPr>
      </w:pPr>
      <w:r>
        <w:rPr>
          <w:rFonts w:cs="Times New Roman"/>
        </w:rPr>
        <w:t>The department will measure Non-Shrink Grout by the Cubic Foot acceptably completed.</w:t>
      </w:r>
    </w:p>
    <w:p w:rsidR="0073442E" w:rsidRDefault="0073442E" w:rsidP="00DC28D4">
      <w:pPr>
        <w:rPr>
          <w:rFonts w:cs="Times New Roman"/>
          <w:b/>
          <w:bCs/>
        </w:rPr>
      </w:pPr>
    </w:p>
    <w:p w:rsidR="0073442E" w:rsidRDefault="0073442E" w:rsidP="00DC28D4">
      <w:pPr>
        <w:rPr>
          <w:rFonts w:cs="Times New Roman"/>
          <w:b/>
          <w:bCs/>
        </w:rPr>
      </w:pPr>
      <w:r>
        <w:rPr>
          <w:rFonts w:cs="Times New Roman"/>
          <w:b/>
          <w:bCs/>
        </w:rPr>
        <w:t>E  Payment</w:t>
      </w:r>
    </w:p>
    <w:p w:rsidR="0073442E" w:rsidRDefault="0073442E" w:rsidP="00DC28D4">
      <w:pPr>
        <w:rPr>
          <w:rFonts w:cs="Times New Roman"/>
        </w:rPr>
      </w:pPr>
      <w:r>
        <w:rPr>
          <w:rFonts w:cs="Times New Roman"/>
        </w:rPr>
        <w:t>The department will pay for measured quantities at the contract unit price under the following bid item:</w:t>
      </w:r>
    </w:p>
    <w:tbl>
      <w:tblPr>
        <w:tblStyle w:val="TableGrid"/>
        <w:tblW w:w="0" w:type="auto"/>
        <w:tblInd w:w="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50"/>
        <w:gridCol w:w="4178"/>
        <w:gridCol w:w="1098"/>
      </w:tblGrid>
      <w:tr w:rsidR="0073442E" w:rsidTr="006F4DB5">
        <w:tc>
          <w:tcPr>
            <w:tcW w:w="2950" w:type="dxa"/>
          </w:tcPr>
          <w:p w:rsidR="0073442E" w:rsidRPr="006F4DB5" w:rsidRDefault="0073442E" w:rsidP="00DC28D4">
            <w:pPr>
              <w:pStyle w:val="STSP"/>
              <w:jc w:val="both"/>
              <w:rPr>
                <w:b/>
              </w:rPr>
            </w:pPr>
            <w:r w:rsidRPr="006F4DB5">
              <w:rPr>
                <w:b/>
              </w:rPr>
              <w:t>ITEM NUMBER</w:t>
            </w:r>
          </w:p>
        </w:tc>
        <w:tc>
          <w:tcPr>
            <w:tcW w:w="4178" w:type="dxa"/>
          </w:tcPr>
          <w:p w:rsidR="0073442E" w:rsidRPr="006F4DB5" w:rsidRDefault="0073442E" w:rsidP="00DC28D4">
            <w:pPr>
              <w:pStyle w:val="STSP"/>
              <w:ind w:right="1332"/>
              <w:jc w:val="both"/>
              <w:rPr>
                <w:b/>
              </w:rPr>
            </w:pPr>
            <w:r w:rsidRPr="006F4DB5">
              <w:rPr>
                <w:b/>
              </w:rPr>
              <w:t>DESCRIPTION</w:t>
            </w:r>
          </w:p>
        </w:tc>
        <w:tc>
          <w:tcPr>
            <w:tcW w:w="1098" w:type="dxa"/>
          </w:tcPr>
          <w:p w:rsidR="0073442E" w:rsidRPr="006F4DB5" w:rsidRDefault="0073442E" w:rsidP="00DC28D4">
            <w:pPr>
              <w:pStyle w:val="STSP"/>
              <w:jc w:val="both"/>
              <w:rPr>
                <w:b/>
              </w:rPr>
            </w:pPr>
            <w:r w:rsidRPr="006F4DB5">
              <w:rPr>
                <w:b/>
              </w:rPr>
              <w:t>UNIT</w:t>
            </w:r>
          </w:p>
        </w:tc>
      </w:tr>
      <w:tr w:rsidR="0073442E" w:rsidTr="006F4DB5">
        <w:tc>
          <w:tcPr>
            <w:tcW w:w="2950" w:type="dxa"/>
          </w:tcPr>
          <w:p w:rsidR="0073442E" w:rsidRDefault="0073442E" w:rsidP="00DC28D4">
            <w:pPr>
              <w:pStyle w:val="STSP"/>
              <w:jc w:val="both"/>
            </w:pPr>
            <w:r>
              <w:lastRenderedPageBreak/>
              <w:t>SPV.0025.</w:t>
            </w:r>
            <w:r w:rsidR="00DC28D4">
              <w:t>xx</w:t>
            </w:r>
          </w:p>
        </w:tc>
        <w:tc>
          <w:tcPr>
            <w:tcW w:w="4178" w:type="dxa"/>
          </w:tcPr>
          <w:p w:rsidR="0073442E" w:rsidRDefault="0073442E" w:rsidP="00DC28D4">
            <w:pPr>
              <w:pStyle w:val="STSP"/>
              <w:ind w:right="1332"/>
              <w:jc w:val="both"/>
            </w:pPr>
            <w:r>
              <w:t>Non-Shrink Grout</w:t>
            </w:r>
          </w:p>
        </w:tc>
        <w:tc>
          <w:tcPr>
            <w:tcW w:w="1098" w:type="dxa"/>
          </w:tcPr>
          <w:p w:rsidR="0073442E" w:rsidRDefault="0073442E" w:rsidP="00DC28D4">
            <w:pPr>
              <w:pStyle w:val="STSP"/>
              <w:jc w:val="both"/>
            </w:pPr>
            <w:r>
              <w:t>CF</w:t>
            </w:r>
          </w:p>
        </w:tc>
      </w:tr>
    </w:tbl>
    <w:p w:rsidR="0073442E" w:rsidRDefault="0073442E" w:rsidP="00DC28D4">
      <w:pPr>
        <w:rPr>
          <w:rFonts w:cs="Times New Roman"/>
        </w:rPr>
      </w:pPr>
    </w:p>
    <w:p w:rsidR="0073442E" w:rsidRDefault="0073442E" w:rsidP="00DC28D4">
      <w:pPr>
        <w:rPr>
          <w:rFonts w:cs="Times New Roman"/>
        </w:rPr>
      </w:pPr>
      <w:r>
        <w:rPr>
          <w:rFonts w:cs="Times New Roman"/>
        </w:rPr>
        <w:t xml:space="preserve">Payment </w:t>
      </w:r>
      <w:r w:rsidR="00A0557E">
        <w:rPr>
          <w:rFonts w:cs="Times New Roman"/>
        </w:rPr>
        <w:t xml:space="preserve">for Non-Shrink Grout </w:t>
      </w:r>
      <w:r>
        <w:rPr>
          <w:rFonts w:cs="Times New Roman"/>
        </w:rPr>
        <w:t xml:space="preserve">is full compensation for providing all materials; placing, finishing, protecting and curing the Non-Shrink Grout. </w:t>
      </w:r>
    </w:p>
    <w:p w:rsidR="00386EC2" w:rsidRDefault="00386EC2" w:rsidP="00DC28D4"/>
    <w:sectPr w:rsidR="00386EC2" w:rsidSect="00DC28D4">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DC4"/>
    <w:multiLevelType w:val="hybridMultilevel"/>
    <w:tmpl w:val="C734A9F2"/>
    <w:lvl w:ilvl="0" w:tplc="0E82FED0">
      <w:start w:val="1"/>
      <w:numFmt w:val="decimal"/>
      <w:lvlText w:val="12.%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2E"/>
    <w:rsid w:val="00142906"/>
    <w:rsid w:val="00386EC2"/>
    <w:rsid w:val="00507776"/>
    <w:rsid w:val="005D0967"/>
    <w:rsid w:val="006F4DB5"/>
    <w:rsid w:val="0073442E"/>
    <w:rsid w:val="007A2A34"/>
    <w:rsid w:val="00825768"/>
    <w:rsid w:val="008578C1"/>
    <w:rsid w:val="00A0557E"/>
    <w:rsid w:val="00B22291"/>
    <w:rsid w:val="00C7008E"/>
    <w:rsid w:val="00C7422F"/>
    <w:rsid w:val="00DC28D4"/>
    <w:rsid w:val="00E77DFD"/>
    <w:rsid w:val="00EE4F73"/>
    <w:rsid w:val="00EF4EFE"/>
    <w:rsid w:val="00F929FC"/>
    <w:rsid w:val="00F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FE58E-35A9-43E0-B15F-DBACDA0E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2E"/>
    <w:pPr>
      <w:spacing w:after="0" w:line="240" w:lineRule="auto"/>
      <w:ind w:left="720"/>
      <w:jc w:val="both"/>
    </w:pPr>
    <w:rPr>
      <w:rFonts w:ascii="Times New Roman" w:eastAsiaTheme="minorEastAsia" w:hAnsi="Times New Roman"/>
      <w:sz w:val="24"/>
      <w:szCs w:val="24"/>
      <w:lang w:bidi="ar-SA"/>
    </w:rPr>
  </w:style>
  <w:style w:type="paragraph" w:styleId="Heading1">
    <w:name w:val="heading 1"/>
    <w:basedOn w:val="Normal"/>
    <w:next w:val="Normal"/>
    <w:link w:val="Heading1Char"/>
    <w:uiPriority w:val="9"/>
    <w:qFormat/>
    <w:rsid w:val="00B2229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229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229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229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29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29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29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29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29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29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22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22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22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2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2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2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2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2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29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2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229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22291"/>
    <w:rPr>
      <w:rFonts w:asciiTheme="majorHAnsi" w:eastAsiaTheme="majorEastAsia" w:hAnsiTheme="majorHAnsi" w:cstheme="majorBidi"/>
      <w:i/>
      <w:iCs/>
      <w:spacing w:val="13"/>
      <w:sz w:val="24"/>
      <w:szCs w:val="24"/>
    </w:rPr>
  </w:style>
  <w:style w:type="character" w:styleId="Strong">
    <w:name w:val="Strong"/>
    <w:uiPriority w:val="22"/>
    <w:qFormat/>
    <w:rsid w:val="00B22291"/>
    <w:rPr>
      <w:b/>
      <w:bCs/>
    </w:rPr>
  </w:style>
  <w:style w:type="character" w:styleId="Emphasis">
    <w:name w:val="Emphasis"/>
    <w:uiPriority w:val="20"/>
    <w:qFormat/>
    <w:rsid w:val="00B22291"/>
    <w:rPr>
      <w:b/>
      <w:bCs/>
      <w:i/>
      <w:iCs/>
      <w:spacing w:val="10"/>
      <w:bdr w:val="none" w:sz="0" w:space="0" w:color="auto"/>
      <w:shd w:val="clear" w:color="auto" w:fill="auto"/>
    </w:rPr>
  </w:style>
  <w:style w:type="paragraph" w:styleId="NoSpacing">
    <w:name w:val="No Spacing"/>
    <w:basedOn w:val="Normal"/>
    <w:uiPriority w:val="1"/>
    <w:qFormat/>
    <w:rsid w:val="00B22291"/>
  </w:style>
  <w:style w:type="paragraph" w:styleId="ListParagraph">
    <w:name w:val="List Paragraph"/>
    <w:basedOn w:val="Normal"/>
    <w:uiPriority w:val="34"/>
    <w:qFormat/>
    <w:rsid w:val="00B22291"/>
    <w:pPr>
      <w:contextualSpacing/>
    </w:pPr>
  </w:style>
  <w:style w:type="paragraph" w:styleId="Quote">
    <w:name w:val="Quote"/>
    <w:basedOn w:val="Normal"/>
    <w:next w:val="Normal"/>
    <w:link w:val="QuoteChar"/>
    <w:uiPriority w:val="29"/>
    <w:qFormat/>
    <w:rsid w:val="00B22291"/>
    <w:pPr>
      <w:spacing w:before="200"/>
      <w:ind w:left="360" w:right="360"/>
    </w:pPr>
    <w:rPr>
      <w:i/>
      <w:iCs/>
    </w:rPr>
  </w:style>
  <w:style w:type="character" w:customStyle="1" w:styleId="QuoteChar">
    <w:name w:val="Quote Char"/>
    <w:basedOn w:val="DefaultParagraphFont"/>
    <w:link w:val="Quote"/>
    <w:uiPriority w:val="29"/>
    <w:rsid w:val="00B22291"/>
    <w:rPr>
      <w:i/>
      <w:iCs/>
    </w:rPr>
  </w:style>
  <w:style w:type="paragraph" w:styleId="IntenseQuote">
    <w:name w:val="Intense Quote"/>
    <w:basedOn w:val="Normal"/>
    <w:next w:val="Normal"/>
    <w:link w:val="IntenseQuoteChar"/>
    <w:uiPriority w:val="30"/>
    <w:qFormat/>
    <w:rsid w:val="00B2229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22291"/>
    <w:rPr>
      <w:b/>
      <w:bCs/>
      <w:i/>
      <w:iCs/>
    </w:rPr>
  </w:style>
  <w:style w:type="character" w:styleId="SubtleEmphasis">
    <w:name w:val="Subtle Emphasis"/>
    <w:uiPriority w:val="19"/>
    <w:qFormat/>
    <w:rsid w:val="00B22291"/>
    <w:rPr>
      <w:i/>
      <w:iCs/>
    </w:rPr>
  </w:style>
  <w:style w:type="character" w:styleId="IntenseEmphasis">
    <w:name w:val="Intense Emphasis"/>
    <w:uiPriority w:val="21"/>
    <w:qFormat/>
    <w:rsid w:val="00B22291"/>
    <w:rPr>
      <w:b/>
      <w:bCs/>
    </w:rPr>
  </w:style>
  <w:style w:type="character" w:styleId="SubtleReference">
    <w:name w:val="Subtle Reference"/>
    <w:uiPriority w:val="31"/>
    <w:qFormat/>
    <w:rsid w:val="00B22291"/>
    <w:rPr>
      <w:smallCaps/>
    </w:rPr>
  </w:style>
  <w:style w:type="character" w:styleId="IntenseReference">
    <w:name w:val="Intense Reference"/>
    <w:uiPriority w:val="32"/>
    <w:qFormat/>
    <w:rsid w:val="00B22291"/>
    <w:rPr>
      <w:smallCaps/>
      <w:spacing w:val="5"/>
      <w:u w:val="single"/>
    </w:rPr>
  </w:style>
  <w:style w:type="character" w:styleId="BookTitle">
    <w:name w:val="Book Title"/>
    <w:uiPriority w:val="33"/>
    <w:qFormat/>
    <w:rsid w:val="00B22291"/>
    <w:rPr>
      <w:i/>
      <w:iCs/>
      <w:smallCaps/>
      <w:spacing w:val="5"/>
    </w:rPr>
  </w:style>
  <w:style w:type="paragraph" w:styleId="TOCHeading">
    <w:name w:val="TOC Heading"/>
    <w:basedOn w:val="Heading1"/>
    <w:next w:val="Normal"/>
    <w:uiPriority w:val="39"/>
    <w:semiHidden/>
    <w:unhideWhenUsed/>
    <w:qFormat/>
    <w:rsid w:val="00B22291"/>
    <w:pPr>
      <w:outlineLvl w:val="9"/>
    </w:pPr>
  </w:style>
  <w:style w:type="paragraph" w:customStyle="1" w:styleId="STSP">
    <w:name w:val="STSP"/>
    <w:uiPriority w:val="99"/>
    <w:rsid w:val="0073442E"/>
    <w:pPr>
      <w:tabs>
        <w:tab w:val="left" w:pos="432"/>
      </w:tabs>
      <w:spacing w:after="0" w:line="240" w:lineRule="auto"/>
    </w:pPr>
    <w:rPr>
      <w:rFonts w:ascii="Times New Roman" w:eastAsiaTheme="minorEastAsia" w:hAnsi="Times New Roman" w:cs="Times New Roman"/>
      <w:sz w:val="24"/>
      <w:szCs w:val="24"/>
      <w:lang w:bidi="ar-SA"/>
    </w:rPr>
  </w:style>
  <w:style w:type="paragraph" w:customStyle="1" w:styleId="2Heading2">
    <w:name w:val="2 Heading 2"/>
    <w:basedOn w:val="Normal"/>
    <w:uiPriority w:val="99"/>
    <w:rsid w:val="0073442E"/>
    <w:pPr>
      <w:spacing w:before="240" w:after="240"/>
      <w:ind w:left="0"/>
      <w:jc w:val="left"/>
      <w:outlineLvl w:val="1"/>
    </w:pPr>
    <w:rPr>
      <w:rFonts w:cs="Times New Roman"/>
      <w:b/>
      <w:bCs/>
      <w:sz w:val="28"/>
      <w:szCs w:val="28"/>
    </w:rPr>
  </w:style>
  <w:style w:type="table" w:styleId="TableGrid">
    <w:name w:val="Table Grid"/>
    <w:basedOn w:val="TableNormal"/>
    <w:uiPriority w:val="59"/>
    <w:rsid w:val="006F4D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51191-AEA3-4CD7-A165-63FB0454AC71}"/>
</file>

<file path=customXml/itemProps2.xml><?xml version="1.0" encoding="utf-8"?>
<ds:datastoreItem xmlns:ds="http://schemas.openxmlformats.org/officeDocument/2006/customXml" ds:itemID="{4F67EEC5-11D5-4292-9F76-324EB2924D67}"/>
</file>

<file path=customXml/itemProps3.xml><?xml version="1.0" encoding="utf-8"?>
<ds:datastoreItem xmlns:ds="http://schemas.openxmlformats.org/officeDocument/2006/customXml" ds:itemID="{2EFA67C8-BB51-491B-B674-A7EC99A01E76}"/>
</file>

<file path=customXml/itemProps4.xml><?xml version="1.0" encoding="utf-8"?>
<ds:datastoreItem xmlns:ds="http://schemas.openxmlformats.org/officeDocument/2006/customXml" ds:itemID="{26B1D931-9204-42BA-9800-A8C04454FA15}"/>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dc:creator>
  <cp:keywords/>
  <dc:description/>
  <cp:lastModifiedBy>BONK, AARON M</cp:lastModifiedBy>
  <cp:revision>8</cp:revision>
  <cp:lastPrinted>2012-10-15T16:37:00Z</cp:lastPrinted>
  <dcterms:created xsi:type="dcterms:W3CDTF">2017-10-06T16:19:00Z</dcterms:created>
  <dcterms:modified xsi:type="dcterms:W3CDTF">2017-10-09T12:49:00Z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