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29" w:rsidRDefault="000D2014" w:rsidP="00C10A84">
      <w:pPr>
        <w:rPr>
          <w:b/>
          <w:sz w:val="24"/>
        </w:rPr>
      </w:pPr>
      <w:r>
        <w:rPr>
          <w:rFonts w:ascii="Verdana" w:hAnsi="Verdana"/>
          <w:noProof/>
          <w:color w:val="FFFFFF"/>
          <w:sz w:val="18"/>
          <w:szCs w:val="18"/>
        </w:rPr>
        <w:drawing>
          <wp:anchor distT="0" distB="0" distL="114300" distR="114300" simplePos="0" relativeHeight="251658240" behindDoc="1" locked="0" layoutInCell="1" allowOverlap="1" wp14:anchorId="459A4898" wp14:editId="4ADFC875">
            <wp:simplePos x="0" y="0"/>
            <wp:positionH relativeFrom="column">
              <wp:posOffset>-22860</wp:posOffset>
            </wp:positionH>
            <wp:positionV relativeFrom="paragraph">
              <wp:posOffset>0</wp:posOffset>
            </wp:positionV>
            <wp:extent cx="762000" cy="762000"/>
            <wp:effectExtent l="0" t="0" r="0" b="0"/>
            <wp:wrapTight wrapText="bothSides">
              <wp:wrapPolygon edited="0">
                <wp:start x="0" y="0"/>
                <wp:lineTo x="0" y="21060"/>
                <wp:lineTo x="21060" y="21060"/>
                <wp:lineTo x="21060" y="0"/>
                <wp:lineTo x="0" y="0"/>
              </wp:wrapPolygon>
            </wp:wrapTight>
            <wp:docPr id="1" name="Picture 1" descr="Electronic Real Estate Transfer (eRET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ic Real Estate Transfer (eRET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561" w:rsidRPr="00D16561">
        <w:rPr>
          <w:b/>
          <w:sz w:val="24"/>
        </w:rPr>
        <w:t>Frequently Asked Questions/Answers to Real Estate Transfer Return Process</w:t>
      </w:r>
      <w:r w:rsidR="00900EB3">
        <w:rPr>
          <w:b/>
          <w:sz w:val="24"/>
        </w:rPr>
        <w:t>*</w:t>
      </w:r>
    </w:p>
    <w:p w:rsidR="00D16561" w:rsidRDefault="00D16561" w:rsidP="00C10A84">
      <w:pPr>
        <w:rPr>
          <w:sz w:val="16"/>
          <w:szCs w:val="16"/>
        </w:rPr>
      </w:pPr>
      <w:r>
        <w:rPr>
          <w:sz w:val="16"/>
          <w:szCs w:val="16"/>
        </w:rPr>
        <w:t>Updated 02/16/16</w:t>
      </w:r>
    </w:p>
    <w:p w:rsidR="00D16561" w:rsidRPr="00C10A84" w:rsidRDefault="00D16561" w:rsidP="00C10A84">
      <w:pPr>
        <w:spacing w:before="120"/>
        <w:rPr>
          <w:sz w:val="20"/>
          <w:szCs w:val="20"/>
        </w:rPr>
      </w:pPr>
    </w:p>
    <w:p w:rsidR="007C3144" w:rsidRDefault="007C3144" w:rsidP="007C3144">
      <w:pPr>
        <w:jc w:val="center"/>
      </w:pPr>
      <w:r w:rsidRPr="007C3144">
        <w:t>e</w:t>
      </w:r>
      <w:r>
        <w:t xml:space="preserve">RETR at </w:t>
      </w:r>
      <w:hyperlink r:id="rId12" w:history="1">
        <w:r w:rsidRPr="007C3144">
          <w:rPr>
            <w:rStyle w:val="Hyperlink"/>
            <w:bCs/>
            <w:sz w:val="20"/>
            <w:szCs w:val="20"/>
          </w:rPr>
          <w:t>https://www.revenue.wi.gov/retr/index.html</w:t>
        </w:r>
      </w:hyperlink>
    </w:p>
    <w:p w:rsidR="007C3144" w:rsidRDefault="007C3144" w:rsidP="00900EB3">
      <w:pPr>
        <w:rPr>
          <w:sz w:val="20"/>
          <w:szCs w:val="20"/>
        </w:rPr>
      </w:pPr>
    </w:p>
    <w:p w:rsidR="003011A0" w:rsidRPr="007C3144" w:rsidRDefault="003011A0" w:rsidP="00900EB3">
      <w:pPr>
        <w:rPr>
          <w:sz w:val="20"/>
          <w:szCs w:val="20"/>
        </w:rPr>
      </w:pPr>
      <w:bookmarkStart w:id="0" w:name="_GoBack"/>
      <w:bookmarkEnd w:id="0"/>
    </w:p>
    <w:p w:rsidR="00D16561" w:rsidRPr="00C10A84" w:rsidRDefault="00D16561" w:rsidP="00900EB3">
      <w:pPr>
        <w:rPr>
          <w:sz w:val="20"/>
          <w:szCs w:val="20"/>
        </w:rPr>
      </w:pPr>
      <w:r w:rsidRPr="00C10A84">
        <w:rPr>
          <w:sz w:val="20"/>
          <w:szCs w:val="20"/>
        </w:rPr>
        <w:t>FAQs to RETR process</w:t>
      </w:r>
      <w:r w:rsidR="00900EB3">
        <w:rPr>
          <w:sz w:val="20"/>
          <w:szCs w:val="20"/>
        </w:rPr>
        <w:t xml:space="preserve"> (</w:t>
      </w:r>
      <w:r w:rsidR="00900EB3" w:rsidRPr="00900EB3">
        <w:rPr>
          <w:sz w:val="20"/>
          <w:szCs w:val="20"/>
        </w:rPr>
        <w:t>*</w:t>
      </w:r>
      <w:r w:rsidR="00900EB3" w:rsidRPr="00900EB3">
        <w:rPr>
          <w:rFonts w:ascii="Bradley Hand ITC" w:hAnsi="Bradley Hand ITC"/>
          <w:b/>
          <w:i/>
          <w:color w:val="FF0000"/>
          <w:sz w:val="20"/>
          <w:szCs w:val="20"/>
        </w:rPr>
        <w:t>“e</w:t>
      </w:r>
      <w:proofErr w:type="gramStart"/>
      <w:r w:rsidR="00900EB3" w:rsidRPr="00900EB3">
        <w:rPr>
          <w:rFonts w:ascii="Bradley Hand ITC" w:hAnsi="Bradley Hand ITC"/>
          <w:b/>
          <w:i/>
          <w:color w:val="FF0000"/>
          <w:sz w:val="20"/>
          <w:szCs w:val="20"/>
        </w:rPr>
        <w:t>”</w:t>
      </w:r>
      <w:r w:rsidR="00900EB3" w:rsidRPr="00900EB3">
        <w:rPr>
          <w:sz w:val="20"/>
          <w:szCs w:val="20"/>
        </w:rPr>
        <w:t xml:space="preserve"> </w:t>
      </w:r>
      <w:r w:rsidR="00900EB3">
        <w:rPr>
          <w:sz w:val="20"/>
          <w:szCs w:val="20"/>
        </w:rPr>
        <w:t xml:space="preserve"> </w:t>
      </w:r>
      <w:r w:rsidR="00900EB3" w:rsidRPr="00900EB3">
        <w:rPr>
          <w:sz w:val="20"/>
          <w:szCs w:val="20"/>
        </w:rPr>
        <w:t>is</w:t>
      </w:r>
      <w:proofErr w:type="gramEnd"/>
      <w:r w:rsidR="00900EB3" w:rsidRPr="00900EB3">
        <w:rPr>
          <w:sz w:val="20"/>
          <w:szCs w:val="20"/>
        </w:rPr>
        <w:t xml:space="preserve"> for electronic records</w:t>
      </w:r>
      <w:r w:rsidR="00900EB3">
        <w:rPr>
          <w:sz w:val="20"/>
          <w:szCs w:val="20"/>
        </w:rPr>
        <w:t>):</w:t>
      </w:r>
    </w:p>
    <w:p w:rsidR="00D16561" w:rsidRPr="00C10A84" w:rsidRDefault="00D16561" w:rsidP="00D53879">
      <w:pPr>
        <w:spacing w:before="240"/>
        <w:ind w:left="720" w:hanging="720"/>
        <w:rPr>
          <w:sz w:val="20"/>
          <w:szCs w:val="20"/>
        </w:rPr>
      </w:pPr>
      <w:r w:rsidRPr="00C10A84">
        <w:rPr>
          <w:sz w:val="20"/>
          <w:szCs w:val="20"/>
        </w:rPr>
        <w:t>Q:</w:t>
      </w:r>
      <w:r w:rsidRPr="00C10A84">
        <w:rPr>
          <w:sz w:val="20"/>
          <w:szCs w:val="20"/>
        </w:rPr>
        <w:tab/>
      </w:r>
      <w:r w:rsidR="009C3118">
        <w:rPr>
          <w:sz w:val="20"/>
          <w:szCs w:val="20"/>
        </w:rPr>
        <w:t>Where can we find details</w:t>
      </w:r>
      <w:r w:rsidR="00602A64">
        <w:rPr>
          <w:sz w:val="20"/>
          <w:szCs w:val="20"/>
        </w:rPr>
        <w:t xml:space="preserve"> </w:t>
      </w:r>
      <w:r w:rsidR="00D53879">
        <w:rPr>
          <w:sz w:val="20"/>
          <w:szCs w:val="20"/>
        </w:rPr>
        <w:t>to the</w:t>
      </w:r>
      <w:r w:rsidR="009C3118">
        <w:rPr>
          <w:sz w:val="20"/>
          <w:szCs w:val="20"/>
        </w:rPr>
        <w:t xml:space="preserve"> updated</w:t>
      </w:r>
      <w:r w:rsidR="00D53879">
        <w:rPr>
          <w:sz w:val="20"/>
          <w:szCs w:val="20"/>
        </w:rPr>
        <w:t xml:space="preserve"> </w:t>
      </w:r>
      <w:r w:rsidR="009C3118">
        <w:rPr>
          <w:sz w:val="20"/>
          <w:szCs w:val="20"/>
        </w:rPr>
        <w:t xml:space="preserve">real estate transfer fee </w:t>
      </w:r>
      <w:r w:rsidR="00D53879">
        <w:rPr>
          <w:sz w:val="20"/>
          <w:szCs w:val="20"/>
        </w:rPr>
        <w:t>law</w:t>
      </w:r>
      <w:r w:rsidR="00602A64">
        <w:rPr>
          <w:sz w:val="20"/>
          <w:szCs w:val="20"/>
        </w:rPr>
        <w:t xml:space="preserve">; and, when did </w:t>
      </w:r>
      <w:r w:rsidR="009C3118">
        <w:rPr>
          <w:sz w:val="20"/>
          <w:szCs w:val="20"/>
        </w:rPr>
        <w:t>the</w:t>
      </w:r>
      <w:r w:rsidR="00EA3773">
        <w:rPr>
          <w:sz w:val="20"/>
          <w:szCs w:val="20"/>
        </w:rPr>
        <w:t>se</w:t>
      </w:r>
      <w:r w:rsidR="009C3118">
        <w:rPr>
          <w:sz w:val="20"/>
          <w:szCs w:val="20"/>
        </w:rPr>
        <w:t xml:space="preserve"> changes become</w:t>
      </w:r>
      <w:r w:rsidR="00602A64">
        <w:rPr>
          <w:sz w:val="20"/>
          <w:szCs w:val="20"/>
        </w:rPr>
        <w:t xml:space="preserve"> effective</w:t>
      </w:r>
      <w:r w:rsidR="00D53879">
        <w:rPr>
          <w:sz w:val="20"/>
          <w:szCs w:val="20"/>
        </w:rPr>
        <w:t>?</w:t>
      </w:r>
    </w:p>
    <w:p w:rsidR="00D16561" w:rsidRPr="00C10A84" w:rsidRDefault="00D16561" w:rsidP="00D53879">
      <w:pPr>
        <w:spacing w:before="120"/>
        <w:ind w:left="720" w:hanging="720"/>
        <w:rPr>
          <w:b/>
          <w:sz w:val="20"/>
          <w:szCs w:val="20"/>
        </w:rPr>
      </w:pPr>
      <w:r w:rsidRPr="00C10A84">
        <w:rPr>
          <w:b/>
          <w:sz w:val="20"/>
          <w:szCs w:val="20"/>
        </w:rPr>
        <w:t>A:</w:t>
      </w:r>
      <w:r w:rsidRPr="00C10A84">
        <w:rPr>
          <w:b/>
          <w:sz w:val="20"/>
          <w:szCs w:val="20"/>
        </w:rPr>
        <w:tab/>
      </w:r>
      <w:r w:rsidR="004D47B0">
        <w:rPr>
          <w:b/>
          <w:sz w:val="20"/>
          <w:szCs w:val="20"/>
        </w:rPr>
        <w:t>Changes to the</w:t>
      </w:r>
      <w:r w:rsidR="00354CFD">
        <w:rPr>
          <w:b/>
          <w:sz w:val="20"/>
          <w:szCs w:val="20"/>
        </w:rPr>
        <w:t xml:space="preserve"> law w</w:t>
      </w:r>
      <w:r w:rsidR="004D47B0">
        <w:rPr>
          <w:b/>
          <w:sz w:val="20"/>
          <w:szCs w:val="20"/>
        </w:rPr>
        <w:t>ere</w:t>
      </w:r>
      <w:r w:rsidR="00354CFD">
        <w:rPr>
          <w:b/>
          <w:sz w:val="20"/>
          <w:szCs w:val="20"/>
        </w:rPr>
        <w:t xml:space="preserve"> approved </w:t>
      </w:r>
      <w:r w:rsidR="00593B45">
        <w:rPr>
          <w:b/>
          <w:sz w:val="20"/>
          <w:szCs w:val="20"/>
        </w:rPr>
        <w:t xml:space="preserve">(signed into law) on 2-4-16 </w:t>
      </w:r>
      <w:r w:rsidR="00354CFD">
        <w:rPr>
          <w:b/>
          <w:sz w:val="20"/>
          <w:szCs w:val="20"/>
        </w:rPr>
        <w:t xml:space="preserve">by the Governor </w:t>
      </w:r>
      <w:r w:rsidR="007F1B80">
        <w:rPr>
          <w:b/>
          <w:sz w:val="20"/>
          <w:szCs w:val="20"/>
        </w:rPr>
        <w:t xml:space="preserve">and are </w:t>
      </w:r>
      <w:r w:rsidR="00354CFD">
        <w:rPr>
          <w:b/>
          <w:sz w:val="20"/>
          <w:szCs w:val="20"/>
        </w:rPr>
        <w:t>a</w:t>
      </w:r>
      <w:r w:rsidR="00602A64">
        <w:rPr>
          <w:b/>
          <w:sz w:val="20"/>
          <w:szCs w:val="20"/>
        </w:rPr>
        <w:t xml:space="preserve">s published </w:t>
      </w:r>
      <w:r w:rsidR="00354CFD">
        <w:rPr>
          <w:b/>
          <w:sz w:val="20"/>
          <w:szCs w:val="20"/>
        </w:rPr>
        <w:t xml:space="preserve">on </w:t>
      </w:r>
      <w:r w:rsidR="00602A64">
        <w:rPr>
          <w:b/>
          <w:sz w:val="20"/>
          <w:szCs w:val="20"/>
        </w:rPr>
        <w:t>2-5-16, s</w:t>
      </w:r>
      <w:r w:rsidR="00D53879">
        <w:rPr>
          <w:b/>
          <w:sz w:val="20"/>
          <w:szCs w:val="20"/>
        </w:rPr>
        <w:t xml:space="preserve">ee </w:t>
      </w:r>
      <w:hyperlink r:id="rId13" w:history="1">
        <w:r w:rsidR="00D53879" w:rsidRPr="00602A64">
          <w:rPr>
            <w:rStyle w:val="Hyperlink"/>
            <w:b/>
            <w:sz w:val="20"/>
            <w:szCs w:val="20"/>
          </w:rPr>
          <w:t>Senate Bill 279</w:t>
        </w:r>
      </w:hyperlink>
      <w:r w:rsidR="00D53879">
        <w:rPr>
          <w:b/>
          <w:sz w:val="20"/>
          <w:szCs w:val="20"/>
        </w:rPr>
        <w:t>; an Act to amend 77.255 of the statutes; relating to: real estate transfer fee returns for conveyances exempt from the fee.</w:t>
      </w:r>
      <w:r w:rsidR="009C3118">
        <w:rPr>
          <w:b/>
          <w:sz w:val="20"/>
          <w:szCs w:val="20"/>
        </w:rPr>
        <w:t xml:space="preserve">  </w:t>
      </w:r>
      <w:r w:rsidR="00AB6A3F">
        <w:rPr>
          <w:b/>
          <w:sz w:val="20"/>
          <w:szCs w:val="20"/>
        </w:rPr>
        <w:t xml:space="preserve">The </w:t>
      </w:r>
      <w:r w:rsidR="000F5B2C">
        <w:rPr>
          <w:b/>
          <w:sz w:val="20"/>
          <w:szCs w:val="20"/>
        </w:rPr>
        <w:t xml:space="preserve">new </w:t>
      </w:r>
      <w:r w:rsidR="00AB6A3F">
        <w:rPr>
          <w:b/>
          <w:sz w:val="20"/>
          <w:szCs w:val="20"/>
        </w:rPr>
        <w:t xml:space="preserve">law became effective </w:t>
      </w:r>
      <w:r w:rsidR="000F5B2C">
        <w:rPr>
          <w:b/>
          <w:sz w:val="20"/>
          <w:szCs w:val="20"/>
        </w:rPr>
        <w:t xml:space="preserve">immediately on </w:t>
      </w:r>
      <w:r w:rsidR="00593B45">
        <w:rPr>
          <w:b/>
          <w:sz w:val="20"/>
          <w:szCs w:val="20"/>
        </w:rPr>
        <w:t>2-4-16 when</w:t>
      </w:r>
      <w:r w:rsidR="000F5B2C">
        <w:rPr>
          <w:b/>
          <w:sz w:val="20"/>
          <w:szCs w:val="20"/>
        </w:rPr>
        <w:t xml:space="preserve"> the Governor approved it (signed it)</w:t>
      </w:r>
      <w:r w:rsidR="00EA3773">
        <w:rPr>
          <w:b/>
          <w:sz w:val="20"/>
          <w:szCs w:val="20"/>
        </w:rPr>
        <w:t>;</w:t>
      </w:r>
      <w:r w:rsidR="000F5B2C">
        <w:rPr>
          <w:b/>
          <w:sz w:val="20"/>
          <w:szCs w:val="20"/>
        </w:rPr>
        <w:t xml:space="preserve"> any document(s) recorded prior to the effective date do NOT need a transfer return prepared for them.</w:t>
      </w:r>
    </w:p>
    <w:p w:rsidR="001377F2" w:rsidRPr="00C10A84" w:rsidRDefault="001377F2" w:rsidP="001377F2">
      <w:pPr>
        <w:spacing w:before="240"/>
        <w:ind w:left="720" w:hanging="720"/>
        <w:rPr>
          <w:sz w:val="20"/>
          <w:szCs w:val="20"/>
        </w:rPr>
      </w:pPr>
      <w:r w:rsidRPr="00C10A84">
        <w:rPr>
          <w:sz w:val="20"/>
          <w:szCs w:val="20"/>
        </w:rPr>
        <w:t>Q:</w:t>
      </w:r>
      <w:r w:rsidRPr="00C10A84">
        <w:rPr>
          <w:sz w:val="20"/>
          <w:szCs w:val="20"/>
        </w:rPr>
        <w:tab/>
      </w:r>
      <w:r>
        <w:rPr>
          <w:sz w:val="20"/>
          <w:szCs w:val="20"/>
        </w:rPr>
        <w:t>What does the applicable statute language actually say?</w:t>
      </w:r>
    </w:p>
    <w:p w:rsidR="001377F2" w:rsidRPr="005432BC" w:rsidRDefault="001377F2" w:rsidP="001377F2">
      <w:pPr>
        <w:spacing w:before="120"/>
        <w:ind w:left="720" w:hanging="720"/>
        <w:rPr>
          <w:b/>
          <w:sz w:val="20"/>
          <w:szCs w:val="20"/>
        </w:rPr>
      </w:pPr>
      <w:r w:rsidRPr="001377F2">
        <w:rPr>
          <w:b/>
          <w:sz w:val="20"/>
          <w:szCs w:val="20"/>
        </w:rPr>
        <w:t>A:</w:t>
      </w:r>
      <w:r w:rsidRPr="001377F2">
        <w:rPr>
          <w:b/>
          <w:sz w:val="20"/>
          <w:szCs w:val="20"/>
        </w:rPr>
        <w:tab/>
      </w:r>
      <w:r w:rsidRPr="005432BC">
        <w:rPr>
          <w:b/>
          <w:color w:val="000000"/>
          <w:sz w:val="20"/>
          <w:szCs w:val="20"/>
        </w:rPr>
        <w:t xml:space="preserve">The </w:t>
      </w:r>
      <w:r w:rsidR="007C3144" w:rsidRPr="007C3144">
        <w:rPr>
          <w:b/>
          <w:color w:val="000000"/>
          <w:sz w:val="20"/>
          <w:szCs w:val="20"/>
        </w:rPr>
        <w:t>e</w:t>
      </w:r>
      <w:r w:rsidRPr="005432BC">
        <w:rPr>
          <w:b/>
          <w:color w:val="000000"/>
          <w:sz w:val="20"/>
          <w:szCs w:val="20"/>
        </w:rPr>
        <w:t xml:space="preserve">RETR is required for all conveyances of ownership interest in real estate per sec. </w:t>
      </w:r>
      <w:hyperlink r:id="rId14" w:history="1">
        <w:r w:rsidRPr="005432BC">
          <w:rPr>
            <w:rStyle w:val="Hyperlink"/>
            <w:b/>
            <w:sz w:val="20"/>
            <w:szCs w:val="20"/>
          </w:rPr>
          <w:t>77.22(1)</w:t>
        </w:r>
      </w:hyperlink>
      <w:r w:rsidRPr="005432BC">
        <w:rPr>
          <w:b/>
          <w:color w:val="000000"/>
          <w:sz w:val="20"/>
          <w:szCs w:val="20"/>
        </w:rPr>
        <w:t>, Wis. Stats.:</w:t>
      </w:r>
    </w:p>
    <w:p w:rsidR="001377F2" w:rsidRPr="005432BC" w:rsidRDefault="001377F2" w:rsidP="001377F2">
      <w:pPr>
        <w:pStyle w:val="NoSpacing"/>
        <w:ind w:left="720"/>
        <w:rPr>
          <w:rFonts w:ascii="Arial" w:hAnsi="Arial" w:cs="Arial"/>
          <w:b/>
          <w:sz w:val="20"/>
          <w:szCs w:val="20"/>
        </w:rPr>
      </w:pPr>
    </w:p>
    <w:p w:rsidR="001377F2" w:rsidRPr="001377F2" w:rsidRDefault="001377F2" w:rsidP="001377F2">
      <w:pPr>
        <w:pStyle w:val="NoSpacing"/>
        <w:ind w:left="720"/>
        <w:rPr>
          <w:rFonts w:asciiTheme="minorHAnsi" w:hAnsiTheme="minorHAnsi" w:cstheme="minorHAnsi"/>
          <w:sz w:val="20"/>
          <w:szCs w:val="20"/>
        </w:rPr>
      </w:pPr>
      <w:r w:rsidRPr="001377F2">
        <w:rPr>
          <w:rFonts w:asciiTheme="minorHAnsi" w:hAnsiTheme="minorHAnsi" w:cstheme="minorHAnsi"/>
          <w:b/>
          <w:bCs/>
          <w:i/>
          <w:iCs/>
          <w:sz w:val="20"/>
          <w:szCs w:val="20"/>
        </w:rPr>
        <w:t>(1)</w:t>
      </w:r>
      <w:r w:rsidRPr="001377F2">
        <w:rPr>
          <w:rFonts w:asciiTheme="minorHAnsi" w:hAnsiTheme="minorHAnsi" w:cstheme="minorHAnsi"/>
          <w:i/>
          <w:iCs/>
          <w:sz w:val="20"/>
          <w:szCs w:val="20"/>
        </w:rPr>
        <w:t xml:space="preserve"> There is imposed on the grantor of real estate a real estate transfer fee at the rate of 30 cents for each $100 of value or fraction thereof on every conveyance not exempted or excluded under this subchapter. </w:t>
      </w:r>
      <w:proofErr w:type="gramStart"/>
      <w:r w:rsidRPr="001377F2">
        <w:rPr>
          <w:rFonts w:asciiTheme="minorHAnsi" w:hAnsiTheme="minorHAnsi" w:cstheme="minorHAnsi"/>
          <w:i/>
          <w:iCs/>
          <w:sz w:val="20"/>
          <w:szCs w:val="20"/>
        </w:rPr>
        <w:t>In regard to</w:t>
      </w:r>
      <w:proofErr w:type="gramEnd"/>
      <w:r w:rsidRPr="001377F2">
        <w:rPr>
          <w:rFonts w:asciiTheme="minorHAnsi" w:hAnsiTheme="minorHAnsi" w:cstheme="minorHAnsi"/>
          <w:i/>
          <w:iCs/>
          <w:sz w:val="20"/>
          <w:szCs w:val="20"/>
        </w:rPr>
        <w:t xml:space="preserve"> land contracts the value is the total principal amount that the buyer agrees to pay the seller for the real estate. This fee shall be collected by the register at the time the instrument of conveyance is submitted for recording. Except as provided in s. </w:t>
      </w:r>
      <w:hyperlink r:id="rId15" w:tooltip="Statutes 77.255" w:history="1">
        <w:r w:rsidRPr="001377F2">
          <w:rPr>
            <w:rStyle w:val="Hyperlink"/>
            <w:rFonts w:asciiTheme="minorHAnsi" w:hAnsiTheme="minorHAnsi" w:cstheme="minorHAnsi"/>
            <w:i/>
            <w:iCs/>
            <w:sz w:val="20"/>
            <w:szCs w:val="20"/>
          </w:rPr>
          <w:t>77.255</w:t>
        </w:r>
      </w:hyperlink>
      <w:r w:rsidRPr="001377F2">
        <w:rPr>
          <w:rFonts w:asciiTheme="minorHAnsi" w:hAnsiTheme="minorHAnsi" w:cstheme="minorHAnsi"/>
          <w:i/>
          <w:iCs/>
          <w:sz w:val="20"/>
          <w:szCs w:val="20"/>
        </w:rPr>
        <w:t xml:space="preserve">, at the time of submission the grantee or his or her duly authorized agent or other person acquiring an ownership interest under the instrument, or the clerk of court or judgment creditor in the case of a foreclosure under s. </w:t>
      </w:r>
      <w:hyperlink r:id="rId16" w:tooltip="Statutes 846.16" w:history="1">
        <w:r w:rsidRPr="001377F2">
          <w:rPr>
            <w:rStyle w:val="Hyperlink"/>
            <w:rFonts w:asciiTheme="minorHAnsi" w:hAnsiTheme="minorHAnsi" w:cstheme="minorHAnsi"/>
            <w:i/>
            <w:iCs/>
            <w:sz w:val="20"/>
            <w:szCs w:val="20"/>
          </w:rPr>
          <w:t>846.16</w:t>
        </w:r>
      </w:hyperlink>
      <w:r w:rsidRPr="001377F2">
        <w:rPr>
          <w:rFonts w:asciiTheme="minorHAnsi" w:hAnsiTheme="minorHAnsi" w:cstheme="minorHAnsi"/>
          <w:i/>
          <w:iCs/>
          <w:sz w:val="20"/>
          <w:szCs w:val="20"/>
        </w:rPr>
        <w:t xml:space="preserve">, shall execute a return, signed by both grantor and grantee, on the form prescribed under sub. </w:t>
      </w:r>
      <w:hyperlink r:id="rId17" w:tooltip="Statutes 77.22(2)" w:history="1">
        <w:proofErr w:type="gramStart"/>
        <w:r w:rsidRPr="001377F2">
          <w:rPr>
            <w:rStyle w:val="Hyperlink"/>
            <w:rFonts w:asciiTheme="minorHAnsi" w:hAnsiTheme="minorHAnsi" w:cstheme="minorHAnsi"/>
            <w:i/>
            <w:iCs/>
            <w:sz w:val="20"/>
            <w:szCs w:val="20"/>
          </w:rPr>
          <w:t>(2)</w:t>
        </w:r>
      </w:hyperlink>
      <w:r w:rsidRPr="001377F2">
        <w:rPr>
          <w:rFonts w:asciiTheme="minorHAnsi" w:hAnsiTheme="minorHAnsi" w:cstheme="minorHAnsi"/>
          <w:i/>
          <w:iCs/>
          <w:sz w:val="20"/>
          <w:szCs w:val="20"/>
        </w:rPr>
        <w:t>.</w:t>
      </w:r>
      <w:proofErr w:type="gramEnd"/>
      <w:r w:rsidRPr="001377F2">
        <w:rPr>
          <w:rFonts w:asciiTheme="minorHAnsi" w:hAnsiTheme="minorHAnsi" w:cstheme="minorHAnsi"/>
          <w:i/>
          <w:iCs/>
          <w:sz w:val="20"/>
          <w:szCs w:val="20"/>
        </w:rPr>
        <w:t xml:space="preserve"> The register shall enter the fee paid on the face of the deed or other instrument of conveyance before recording, and, except as provided in s. </w:t>
      </w:r>
      <w:hyperlink r:id="rId18" w:tooltip="Statutes 77.255" w:history="1">
        <w:r w:rsidRPr="001377F2">
          <w:rPr>
            <w:rStyle w:val="Hyperlink"/>
            <w:rFonts w:asciiTheme="minorHAnsi" w:hAnsiTheme="minorHAnsi" w:cstheme="minorHAnsi"/>
            <w:i/>
            <w:iCs/>
            <w:sz w:val="20"/>
            <w:szCs w:val="20"/>
          </w:rPr>
          <w:t>77.255</w:t>
        </w:r>
      </w:hyperlink>
      <w:r w:rsidRPr="001377F2">
        <w:rPr>
          <w:rFonts w:asciiTheme="minorHAnsi" w:hAnsiTheme="minorHAnsi" w:cstheme="minorHAnsi"/>
          <w:i/>
          <w:iCs/>
          <w:sz w:val="20"/>
          <w:szCs w:val="20"/>
        </w:rPr>
        <w:t xml:space="preserve">, submission of a completed real estate transfer return and collection by the register of the fee shall be prerequisites to acceptance of the conveyance for recording. The register shall have no duty to determine either the correct value of the real estate transferred or the validity of any exemption or exclusion claimed. If the transfer is not subject to a fee as provided in this subchapter, the reason for exemption shall be stated on the face of the conveyance to be recorded by reference to the proper subsection under s. </w:t>
      </w:r>
      <w:hyperlink r:id="rId19" w:tooltip="Statutes 77.25" w:history="1">
        <w:r w:rsidRPr="001377F2">
          <w:rPr>
            <w:rStyle w:val="Hyperlink"/>
            <w:rFonts w:asciiTheme="minorHAnsi" w:hAnsiTheme="minorHAnsi" w:cstheme="minorHAnsi"/>
            <w:i/>
            <w:iCs/>
            <w:sz w:val="20"/>
            <w:szCs w:val="20"/>
          </w:rPr>
          <w:t>77.25</w:t>
        </w:r>
      </w:hyperlink>
      <w:r w:rsidRPr="001377F2">
        <w:rPr>
          <w:rFonts w:asciiTheme="minorHAnsi" w:hAnsiTheme="minorHAnsi" w:cstheme="minorHAnsi"/>
          <w:i/>
          <w:iCs/>
          <w:sz w:val="20"/>
          <w:szCs w:val="20"/>
        </w:rPr>
        <w:t>.</w:t>
      </w:r>
    </w:p>
    <w:p w:rsidR="001377F2" w:rsidRPr="005432BC" w:rsidRDefault="001377F2" w:rsidP="001377F2">
      <w:pPr>
        <w:spacing w:before="120"/>
        <w:ind w:left="720"/>
        <w:rPr>
          <w:b/>
          <w:sz w:val="20"/>
          <w:szCs w:val="20"/>
        </w:rPr>
      </w:pPr>
      <w:r w:rsidRPr="005432BC">
        <w:rPr>
          <w:b/>
          <w:color w:val="000000"/>
          <w:sz w:val="20"/>
          <w:szCs w:val="20"/>
        </w:rPr>
        <w:t xml:space="preserve">A conveyance of real estate is defined by sec. </w:t>
      </w:r>
      <w:hyperlink r:id="rId20" w:history="1">
        <w:r w:rsidRPr="005432BC">
          <w:rPr>
            <w:rStyle w:val="Hyperlink"/>
            <w:b/>
            <w:sz w:val="20"/>
            <w:szCs w:val="20"/>
          </w:rPr>
          <w:t>77.21(1)</w:t>
        </w:r>
      </w:hyperlink>
      <w:r w:rsidRPr="005432BC">
        <w:rPr>
          <w:b/>
          <w:color w:val="000000"/>
          <w:sz w:val="20"/>
          <w:szCs w:val="20"/>
        </w:rPr>
        <w:t>, Wis. Stats.:</w:t>
      </w:r>
    </w:p>
    <w:p w:rsidR="001377F2" w:rsidRPr="001377F2" w:rsidRDefault="001377F2" w:rsidP="001377F2">
      <w:pPr>
        <w:spacing w:before="120"/>
        <w:ind w:left="720" w:hanging="720"/>
        <w:rPr>
          <w:rFonts w:asciiTheme="minorHAnsi" w:hAnsiTheme="minorHAnsi" w:cstheme="minorHAnsi"/>
          <w:b/>
          <w:sz w:val="20"/>
          <w:szCs w:val="20"/>
        </w:rPr>
      </w:pPr>
      <w:r>
        <w:rPr>
          <w:rFonts w:asciiTheme="minorHAnsi" w:hAnsiTheme="minorHAnsi" w:cstheme="minorHAnsi"/>
          <w:b/>
          <w:bCs/>
          <w:i/>
          <w:iCs/>
          <w:sz w:val="20"/>
          <w:szCs w:val="20"/>
        </w:rPr>
        <w:tab/>
      </w:r>
      <w:r w:rsidRPr="001377F2">
        <w:rPr>
          <w:rFonts w:asciiTheme="minorHAnsi" w:hAnsiTheme="minorHAnsi" w:cstheme="minorHAnsi"/>
          <w:b/>
          <w:bCs/>
          <w:i/>
          <w:iCs/>
          <w:sz w:val="20"/>
          <w:szCs w:val="20"/>
        </w:rPr>
        <w:t>(1)</w:t>
      </w:r>
      <w:r w:rsidRPr="001377F2">
        <w:rPr>
          <w:rFonts w:asciiTheme="minorHAnsi" w:hAnsiTheme="minorHAnsi" w:cstheme="minorHAnsi"/>
          <w:i/>
          <w:iCs/>
          <w:sz w:val="20"/>
          <w:szCs w:val="20"/>
        </w:rPr>
        <w:t xml:space="preserve"> "Conveyance" includes </w:t>
      </w:r>
      <w:r w:rsidRPr="005432BC">
        <w:rPr>
          <w:rFonts w:asciiTheme="minorHAnsi" w:hAnsiTheme="minorHAnsi" w:cstheme="minorHAnsi"/>
          <w:i/>
          <w:iCs/>
          <w:sz w:val="20"/>
          <w:szCs w:val="20"/>
        </w:rPr>
        <w:t>deeds and other instruments for the passage of ownership interests in real estate</w:t>
      </w:r>
      <w:r w:rsidRPr="001377F2">
        <w:rPr>
          <w:rFonts w:asciiTheme="minorHAnsi" w:hAnsiTheme="minorHAnsi" w:cstheme="minorHAnsi"/>
          <w:i/>
          <w:iCs/>
          <w:sz w:val="20"/>
          <w:szCs w:val="20"/>
        </w:rPr>
        <w:t xml:space="preserve">, including contracts and assignments of a vendee's interest therein, including instruments that are evidence of a sale of time-share property, as defined in s. </w:t>
      </w:r>
      <w:hyperlink r:id="rId21" w:tooltip="Statutes 707.02(32)" w:history="1">
        <w:r w:rsidRPr="001377F2">
          <w:rPr>
            <w:rStyle w:val="Hyperlink"/>
            <w:rFonts w:asciiTheme="minorHAnsi" w:hAnsiTheme="minorHAnsi" w:cstheme="minorHAnsi"/>
            <w:i/>
            <w:iCs/>
            <w:sz w:val="20"/>
            <w:szCs w:val="20"/>
          </w:rPr>
          <w:t>707.02 (32)</w:t>
        </w:r>
      </w:hyperlink>
      <w:r w:rsidRPr="001377F2">
        <w:rPr>
          <w:rFonts w:asciiTheme="minorHAnsi" w:hAnsiTheme="minorHAnsi" w:cstheme="minorHAnsi"/>
          <w:i/>
          <w:iCs/>
          <w:sz w:val="20"/>
          <w:szCs w:val="20"/>
        </w:rPr>
        <w:t>, and including leases for at least 99 years but excluding leases for less than 99 years, easements and wills.</w:t>
      </w:r>
    </w:p>
    <w:p w:rsidR="00D16561" w:rsidRPr="00C10A84" w:rsidRDefault="00D16561" w:rsidP="00D53879">
      <w:pPr>
        <w:spacing w:before="240"/>
        <w:ind w:left="720" w:hanging="720"/>
        <w:rPr>
          <w:sz w:val="20"/>
          <w:szCs w:val="20"/>
        </w:rPr>
      </w:pPr>
      <w:r w:rsidRPr="00C10A84">
        <w:rPr>
          <w:sz w:val="20"/>
          <w:szCs w:val="20"/>
        </w:rPr>
        <w:t>Q:</w:t>
      </w:r>
      <w:r w:rsidRPr="00C10A84">
        <w:rPr>
          <w:sz w:val="20"/>
          <w:szCs w:val="20"/>
        </w:rPr>
        <w:tab/>
      </w:r>
      <w:r w:rsidR="00A904C9">
        <w:rPr>
          <w:sz w:val="20"/>
          <w:szCs w:val="20"/>
        </w:rPr>
        <w:t xml:space="preserve">Can you </w:t>
      </w:r>
      <w:r w:rsidR="00760105">
        <w:rPr>
          <w:sz w:val="20"/>
          <w:szCs w:val="20"/>
        </w:rPr>
        <w:t xml:space="preserve">briefly </w:t>
      </w:r>
      <w:r w:rsidR="00A904C9">
        <w:rPr>
          <w:sz w:val="20"/>
          <w:szCs w:val="20"/>
        </w:rPr>
        <w:t>summarize the law change?</w:t>
      </w:r>
    </w:p>
    <w:p w:rsidR="00D16561" w:rsidRPr="00C10A84" w:rsidRDefault="00D16561" w:rsidP="00D53879">
      <w:pPr>
        <w:spacing w:before="120"/>
        <w:ind w:left="720" w:hanging="720"/>
        <w:rPr>
          <w:b/>
          <w:sz w:val="20"/>
          <w:szCs w:val="20"/>
        </w:rPr>
      </w:pPr>
      <w:r w:rsidRPr="00C10A84">
        <w:rPr>
          <w:b/>
          <w:sz w:val="20"/>
          <w:szCs w:val="20"/>
        </w:rPr>
        <w:t>A:</w:t>
      </w:r>
      <w:r w:rsidRPr="00C10A84">
        <w:rPr>
          <w:b/>
          <w:sz w:val="20"/>
          <w:szCs w:val="20"/>
        </w:rPr>
        <w:tab/>
      </w:r>
      <w:r w:rsidR="00A904C9">
        <w:rPr>
          <w:b/>
          <w:sz w:val="20"/>
          <w:szCs w:val="20"/>
        </w:rPr>
        <w:t xml:space="preserve">This is the official media release and statement, “Senate Bill 279 - </w:t>
      </w:r>
      <w:r w:rsidR="00A904C9" w:rsidRPr="00A904C9">
        <w:rPr>
          <w:b/>
          <w:sz w:val="20"/>
          <w:szCs w:val="20"/>
        </w:rPr>
        <w:t>requires the filing of real estate transfer returns for any conveyance of property, including those were there is no filing fee required, with the only exception from filing for conveyances dated prior to the creation of the real estate transfer fee law.  As amended, the bill also prohibits local fees from being imposed on conveyances that are exempt from</w:t>
      </w:r>
      <w:r w:rsidR="00A904C9">
        <w:rPr>
          <w:b/>
          <w:sz w:val="20"/>
          <w:szCs w:val="20"/>
        </w:rPr>
        <w:t xml:space="preserve"> the real estate transfer fee.”</w:t>
      </w:r>
    </w:p>
    <w:p w:rsidR="00D16561" w:rsidRPr="00C10A84" w:rsidRDefault="00D16561" w:rsidP="00D53879">
      <w:pPr>
        <w:spacing w:before="240"/>
        <w:ind w:left="720" w:hanging="720"/>
        <w:rPr>
          <w:sz w:val="20"/>
          <w:szCs w:val="20"/>
        </w:rPr>
      </w:pPr>
      <w:r w:rsidRPr="00C10A84">
        <w:rPr>
          <w:sz w:val="20"/>
          <w:szCs w:val="20"/>
        </w:rPr>
        <w:t>Q:</w:t>
      </w:r>
      <w:r w:rsidRPr="00C10A84">
        <w:rPr>
          <w:sz w:val="20"/>
          <w:szCs w:val="20"/>
        </w:rPr>
        <w:tab/>
      </w:r>
      <w:r w:rsidR="00872598">
        <w:rPr>
          <w:sz w:val="20"/>
          <w:szCs w:val="20"/>
        </w:rPr>
        <w:t>Are there any exceptions to having to file a real estate transfer return (RETR) with the Wisconsin Department of Revenue (DOR)?</w:t>
      </w:r>
    </w:p>
    <w:p w:rsidR="00D16561" w:rsidRPr="00C10A84" w:rsidRDefault="00D16561" w:rsidP="00D53879">
      <w:pPr>
        <w:spacing w:before="120"/>
        <w:ind w:left="720" w:hanging="720"/>
        <w:rPr>
          <w:b/>
          <w:sz w:val="20"/>
          <w:szCs w:val="20"/>
        </w:rPr>
      </w:pPr>
      <w:r w:rsidRPr="00073A77">
        <w:rPr>
          <w:b/>
          <w:sz w:val="20"/>
          <w:szCs w:val="20"/>
        </w:rPr>
        <w:t>A:</w:t>
      </w:r>
      <w:r w:rsidRPr="00073A77">
        <w:rPr>
          <w:b/>
          <w:sz w:val="20"/>
          <w:szCs w:val="20"/>
        </w:rPr>
        <w:tab/>
      </w:r>
      <w:r w:rsidR="00872598" w:rsidRPr="00073A77">
        <w:rPr>
          <w:b/>
          <w:sz w:val="20"/>
          <w:szCs w:val="20"/>
        </w:rPr>
        <w:t>While the new law has greatly expanded the requirements for having to filing real estate transfer return</w:t>
      </w:r>
      <w:r w:rsidR="00872598">
        <w:rPr>
          <w:b/>
          <w:sz w:val="20"/>
          <w:szCs w:val="20"/>
        </w:rPr>
        <w:t xml:space="preserve"> information with DOR, there are still exceptions to having to file, such as: if/when we have an easement only acquisition, for easements of any type, we do NOT need to file a RETR (even if/when there is a fee involved).</w:t>
      </w:r>
      <w:r w:rsidR="00AA075F">
        <w:rPr>
          <w:b/>
          <w:sz w:val="20"/>
          <w:szCs w:val="20"/>
        </w:rPr>
        <w:t xml:space="preserve">  The new law includes</w:t>
      </w:r>
      <w:r w:rsidR="00AA075F" w:rsidRPr="00AA075F">
        <w:rPr>
          <w:b/>
          <w:sz w:val="20"/>
          <w:szCs w:val="20"/>
        </w:rPr>
        <w:t xml:space="preserve"> leases for</w:t>
      </w:r>
      <w:r w:rsidR="00AA075F">
        <w:rPr>
          <w:b/>
          <w:sz w:val="20"/>
          <w:szCs w:val="20"/>
        </w:rPr>
        <w:t xml:space="preserve"> at least 99 years, but excludes</w:t>
      </w:r>
      <w:r w:rsidR="00AA075F" w:rsidRPr="00AA075F">
        <w:rPr>
          <w:b/>
          <w:sz w:val="20"/>
          <w:szCs w:val="20"/>
        </w:rPr>
        <w:t xml:space="preserve"> leases for less than 99 years,</w:t>
      </w:r>
    </w:p>
    <w:p w:rsidR="00D16561" w:rsidRPr="00C10A84" w:rsidRDefault="00D16561" w:rsidP="00D53879">
      <w:pPr>
        <w:spacing w:before="240"/>
        <w:ind w:left="720" w:hanging="720"/>
        <w:rPr>
          <w:sz w:val="20"/>
          <w:szCs w:val="20"/>
        </w:rPr>
      </w:pPr>
      <w:r w:rsidRPr="00C10A84">
        <w:rPr>
          <w:sz w:val="20"/>
          <w:szCs w:val="20"/>
        </w:rPr>
        <w:t>Q:</w:t>
      </w:r>
      <w:r w:rsidRPr="00C10A84">
        <w:rPr>
          <w:sz w:val="20"/>
          <w:szCs w:val="20"/>
        </w:rPr>
        <w:tab/>
      </w:r>
      <w:r w:rsidR="00872598">
        <w:rPr>
          <w:sz w:val="20"/>
          <w:szCs w:val="20"/>
        </w:rPr>
        <w:t>How does this new law change what we do here at WisDOT?</w:t>
      </w:r>
    </w:p>
    <w:p w:rsidR="00D16561" w:rsidRPr="00C10A84" w:rsidRDefault="00D16561" w:rsidP="00D53879">
      <w:pPr>
        <w:spacing w:before="120"/>
        <w:ind w:left="720" w:hanging="720"/>
        <w:rPr>
          <w:b/>
          <w:sz w:val="20"/>
          <w:szCs w:val="20"/>
        </w:rPr>
      </w:pPr>
      <w:r w:rsidRPr="00C10A84">
        <w:rPr>
          <w:b/>
          <w:sz w:val="20"/>
          <w:szCs w:val="20"/>
        </w:rPr>
        <w:t>A:</w:t>
      </w:r>
      <w:r w:rsidRPr="00C10A84">
        <w:rPr>
          <w:b/>
          <w:sz w:val="20"/>
          <w:szCs w:val="20"/>
        </w:rPr>
        <w:tab/>
      </w:r>
      <w:r w:rsidR="00872598">
        <w:rPr>
          <w:b/>
          <w:sz w:val="20"/>
          <w:szCs w:val="20"/>
        </w:rPr>
        <w:t>The new law requires</w:t>
      </w:r>
      <w:r w:rsidR="00872598" w:rsidRPr="00872598">
        <w:rPr>
          <w:b/>
          <w:sz w:val="20"/>
          <w:szCs w:val="20"/>
        </w:rPr>
        <w:t xml:space="preserve"> </w:t>
      </w:r>
      <w:r w:rsidR="00872598">
        <w:rPr>
          <w:b/>
          <w:sz w:val="20"/>
          <w:szCs w:val="20"/>
        </w:rPr>
        <w:t>everyone (WisDOT included) to file a real estate transfer return</w:t>
      </w:r>
      <w:r w:rsidR="00872598" w:rsidRPr="00872598">
        <w:rPr>
          <w:b/>
          <w:sz w:val="20"/>
          <w:szCs w:val="20"/>
        </w:rPr>
        <w:t xml:space="preserve"> with </w:t>
      </w:r>
      <w:r w:rsidR="00872598">
        <w:rPr>
          <w:b/>
          <w:sz w:val="20"/>
          <w:szCs w:val="20"/>
        </w:rPr>
        <w:t>DOR</w:t>
      </w:r>
      <w:r w:rsidR="00872598" w:rsidRPr="00872598">
        <w:rPr>
          <w:b/>
          <w:sz w:val="20"/>
          <w:szCs w:val="20"/>
        </w:rPr>
        <w:t xml:space="preserve"> </w:t>
      </w:r>
      <w:r w:rsidR="00872598">
        <w:rPr>
          <w:b/>
          <w:sz w:val="20"/>
          <w:szCs w:val="20"/>
        </w:rPr>
        <w:t xml:space="preserve">now </w:t>
      </w:r>
      <w:r w:rsidR="00872598" w:rsidRPr="00872598">
        <w:rPr>
          <w:b/>
          <w:sz w:val="20"/>
          <w:szCs w:val="20"/>
        </w:rPr>
        <w:t xml:space="preserve">for </w:t>
      </w:r>
      <w:r w:rsidR="00872598">
        <w:rPr>
          <w:b/>
          <w:sz w:val="20"/>
          <w:szCs w:val="20"/>
        </w:rPr>
        <w:t>ALL</w:t>
      </w:r>
      <w:r w:rsidR="00872598" w:rsidRPr="00872598">
        <w:rPr>
          <w:b/>
          <w:sz w:val="20"/>
          <w:szCs w:val="20"/>
        </w:rPr>
        <w:t xml:space="preserve"> fee simple conveyances of property</w:t>
      </w:r>
      <w:r w:rsidR="00B7051D">
        <w:rPr>
          <w:b/>
          <w:sz w:val="20"/>
          <w:szCs w:val="20"/>
        </w:rPr>
        <w:t xml:space="preserve"> that we need to have recorded</w:t>
      </w:r>
      <w:r w:rsidR="00872598" w:rsidRPr="00872598">
        <w:rPr>
          <w:b/>
          <w:sz w:val="20"/>
          <w:szCs w:val="20"/>
        </w:rPr>
        <w:t xml:space="preserve">, including those where there is no </w:t>
      </w:r>
      <w:r w:rsidR="00872598" w:rsidRPr="00872598">
        <w:rPr>
          <w:b/>
          <w:sz w:val="20"/>
          <w:szCs w:val="20"/>
        </w:rPr>
        <w:lastRenderedPageBreak/>
        <w:t xml:space="preserve">filing fee required. </w:t>
      </w:r>
      <w:r w:rsidR="00872598">
        <w:rPr>
          <w:b/>
          <w:sz w:val="20"/>
          <w:szCs w:val="20"/>
        </w:rPr>
        <w:t xml:space="preserve"> Again, t</w:t>
      </w:r>
      <w:r w:rsidR="00872598" w:rsidRPr="00872598">
        <w:rPr>
          <w:b/>
          <w:sz w:val="20"/>
          <w:szCs w:val="20"/>
        </w:rPr>
        <w:t>he only exception from filing is for conveyances dated prior to the creation of the real estate transfer fee law</w:t>
      </w:r>
      <w:r w:rsidR="003E137F">
        <w:rPr>
          <w:b/>
          <w:sz w:val="20"/>
          <w:szCs w:val="20"/>
        </w:rPr>
        <w:t>, easement conveyances, and short-term leases</w:t>
      </w:r>
      <w:r w:rsidR="00872598" w:rsidRPr="00872598">
        <w:rPr>
          <w:b/>
          <w:sz w:val="20"/>
          <w:szCs w:val="20"/>
        </w:rPr>
        <w:t>.</w:t>
      </w:r>
    </w:p>
    <w:p w:rsidR="00D16561" w:rsidRPr="00C10A84" w:rsidRDefault="00D16561" w:rsidP="00D53879">
      <w:pPr>
        <w:spacing w:before="240"/>
        <w:ind w:left="720" w:hanging="720"/>
        <w:rPr>
          <w:sz w:val="20"/>
          <w:szCs w:val="20"/>
        </w:rPr>
      </w:pPr>
      <w:r w:rsidRPr="00C10A84">
        <w:rPr>
          <w:sz w:val="20"/>
          <w:szCs w:val="20"/>
        </w:rPr>
        <w:t>Q:</w:t>
      </w:r>
      <w:r w:rsidRPr="00C10A84">
        <w:rPr>
          <w:sz w:val="20"/>
          <w:szCs w:val="20"/>
        </w:rPr>
        <w:tab/>
      </w:r>
      <w:r w:rsidR="0062520F">
        <w:rPr>
          <w:sz w:val="20"/>
          <w:szCs w:val="20"/>
        </w:rPr>
        <w:t>Are we still exempt from havin</w:t>
      </w:r>
      <w:r w:rsidR="0006606D">
        <w:rPr>
          <w:sz w:val="20"/>
          <w:szCs w:val="20"/>
        </w:rPr>
        <w:t>g to pay a RETR</w:t>
      </w:r>
      <w:r w:rsidR="0062520F">
        <w:rPr>
          <w:sz w:val="20"/>
          <w:szCs w:val="20"/>
        </w:rPr>
        <w:t xml:space="preserve"> fee?</w:t>
      </w:r>
    </w:p>
    <w:p w:rsidR="00CD33DB" w:rsidRDefault="00D16561" w:rsidP="00D53879">
      <w:pPr>
        <w:spacing w:before="120"/>
        <w:ind w:left="720" w:hanging="720"/>
        <w:rPr>
          <w:b/>
          <w:sz w:val="20"/>
          <w:szCs w:val="20"/>
        </w:rPr>
      </w:pPr>
      <w:r w:rsidRPr="00C10A84">
        <w:rPr>
          <w:b/>
          <w:sz w:val="20"/>
          <w:szCs w:val="20"/>
        </w:rPr>
        <w:t>A:</w:t>
      </w:r>
      <w:r w:rsidRPr="00C10A84">
        <w:rPr>
          <w:b/>
          <w:sz w:val="20"/>
          <w:szCs w:val="20"/>
        </w:rPr>
        <w:tab/>
      </w:r>
      <w:r w:rsidR="00C676C6">
        <w:rPr>
          <w:b/>
          <w:sz w:val="20"/>
          <w:szCs w:val="20"/>
        </w:rPr>
        <w:t>W</w:t>
      </w:r>
      <w:r w:rsidR="00CD33DB" w:rsidRPr="00CD33DB">
        <w:rPr>
          <w:b/>
          <w:sz w:val="20"/>
          <w:szCs w:val="20"/>
        </w:rPr>
        <w:t xml:space="preserve">e still do </w:t>
      </w:r>
      <w:r w:rsidR="00C676C6">
        <w:rPr>
          <w:b/>
          <w:sz w:val="20"/>
          <w:szCs w:val="20"/>
        </w:rPr>
        <w:t>NOT</w:t>
      </w:r>
      <w:r w:rsidR="00CD33DB" w:rsidRPr="00CD33DB">
        <w:rPr>
          <w:b/>
          <w:sz w:val="20"/>
          <w:szCs w:val="20"/>
        </w:rPr>
        <w:t xml:space="preserve"> have to pay a transfer fee. </w:t>
      </w:r>
      <w:r w:rsidR="00C676C6">
        <w:rPr>
          <w:b/>
          <w:sz w:val="20"/>
          <w:szCs w:val="20"/>
        </w:rPr>
        <w:t xml:space="preserve"> Per</w:t>
      </w:r>
      <w:r w:rsidR="00CD33DB" w:rsidRPr="00CD33DB">
        <w:rPr>
          <w:b/>
          <w:sz w:val="20"/>
          <w:szCs w:val="20"/>
        </w:rPr>
        <w:t xml:space="preserve"> 77.25 (2r)</w:t>
      </w:r>
      <w:r w:rsidR="00C676C6">
        <w:rPr>
          <w:b/>
          <w:sz w:val="20"/>
          <w:szCs w:val="20"/>
        </w:rPr>
        <w:t>, our</w:t>
      </w:r>
      <w:r w:rsidR="00CD33DB" w:rsidRPr="00CD33DB">
        <w:rPr>
          <w:b/>
          <w:sz w:val="20"/>
          <w:szCs w:val="20"/>
        </w:rPr>
        <w:t xml:space="preserve"> exemption remains and the statutory reference for easements (exempting from fee and return) </w:t>
      </w:r>
      <w:r w:rsidR="00C676C6">
        <w:rPr>
          <w:b/>
          <w:sz w:val="20"/>
          <w:szCs w:val="20"/>
        </w:rPr>
        <w:t>per</w:t>
      </w:r>
      <w:r w:rsidR="00CD33DB" w:rsidRPr="00CD33DB">
        <w:rPr>
          <w:b/>
          <w:sz w:val="20"/>
          <w:szCs w:val="20"/>
        </w:rPr>
        <w:t xml:space="preserve"> 77.22(1) and 77.21(1)</w:t>
      </w:r>
      <w:r w:rsidR="00C676C6">
        <w:rPr>
          <w:b/>
          <w:sz w:val="20"/>
          <w:szCs w:val="20"/>
        </w:rPr>
        <w:t xml:space="preserve"> still remain</w:t>
      </w:r>
      <w:r w:rsidR="00CD33DB" w:rsidRPr="00CD33DB">
        <w:rPr>
          <w:b/>
          <w:sz w:val="20"/>
          <w:szCs w:val="20"/>
        </w:rPr>
        <w:t>.</w:t>
      </w:r>
      <w:r w:rsidR="00C676C6">
        <w:rPr>
          <w:b/>
          <w:sz w:val="20"/>
          <w:szCs w:val="20"/>
        </w:rPr>
        <w:t xml:space="preserve"> </w:t>
      </w:r>
      <w:r w:rsidR="00CD33DB" w:rsidRPr="00CD33DB">
        <w:rPr>
          <w:b/>
          <w:sz w:val="20"/>
          <w:szCs w:val="20"/>
        </w:rPr>
        <w:t xml:space="preserve"> We will, however, be working as quickly as possible to update our forms as needed to reflect the change in statutory reference from</w:t>
      </w:r>
      <w:r w:rsidR="004D6651">
        <w:rPr>
          <w:b/>
          <w:sz w:val="20"/>
          <w:szCs w:val="20"/>
        </w:rPr>
        <w:t xml:space="preserve"> s.</w:t>
      </w:r>
      <w:r w:rsidR="00CD33DB" w:rsidRPr="00CD33DB">
        <w:rPr>
          <w:b/>
          <w:sz w:val="20"/>
          <w:szCs w:val="20"/>
        </w:rPr>
        <w:t xml:space="preserve"> 77.255 relating to real estate transfer fee returns for conveyances exempt from the fee, to reflect the updated law number of </w:t>
      </w:r>
      <w:r w:rsidR="004D6651">
        <w:rPr>
          <w:b/>
          <w:sz w:val="20"/>
          <w:szCs w:val="20"/>
        </w:rPr>
        <w:t xml:space="preserve">s. </w:t>
      </w:r>
      <w:r w:rsidR="00CD33DB" w:rsidRPr="00CD33DB">
        <w:rPr>
          <w:b/>
          <w:sz w:val="20"/>
          <w:szCs w:val="20"/>
        </w:rPr>
        <w:t>77.256.</w:t>
      </w:r>
    </w:p>
    <w:p w:rsidR="00F37328" w:rsidRPr="00C10A84" w:rsidRDefault="00F37328" w:rsidP="00F37328">
      <w:pPr>
        <w:spacing w:before="240"/>
        <w:ind w:left="720" w:hanging="720"/>
        <w:rPr>
          <w:sz w:val="20"/>
          <w:szCs w:val="20"/>
        </w:rPr>
      </w:pPr>
      <w:r w:rsidRPr="00C10A84">
        <w:rPr>
          <w:sz w:val="20"/>
          <w:szCs w:val="20"/>
        </w:rPr>
        <w:t>Q:</w:t>
      </w:r>
      <w:r w:rsidRPr="00C10A84">
        <w:rPr>
          <w:sz w:val="20"/>
          <w:szCs w:val="20"/>
        </w:rPr>
        <w:tab/>
      </w:r>
      <w:r>
        <w:rPr>
          <w:sz w:val="20"/>
          <w:szCs w:val="20"/>
        </w:rPr>
        <w:t xml:space="preserve">What changes and updates will be necessary </w:t>
      </w:r>
      <w:r w:rsidR="000F23E0">
        <w:rPr>
          <w:sz w:val="20"/>
          <w:szCs w:val="20"/>
        </w:rPr>
        <w:t xml:space="preserve">and should be expected </w:t>
      </w:r>
      <w:r>
        <w:rPr>
          <w:sz w:val="20"/>
          <w:szCs w:val="20"/>
        </w:rPr>
        <w:t>to WisDOT/Real Estate process, processing and procedural guidance?</w:t>
      </w:r>
    </w:p>
    <w:p w:rsidR="00F37328" w:rsidRDefault="00F37328" w:rsidP="00F37328">
      <w:pPr>
        <w:spacing w:before="120"/>
        <w:ind w:left="720" w:hanging="720"/>
        <w:rPr>
          <w:b/>
          <w:sz w:val="20"/>
          <w:szCs w:val="20"/>
        </w:rPr>
      </w:pPr>
      <w:r w:rsidRPr="00C10A84">
        <w:rPr>
          <w:b/>
          <w:sz w:val="20"/>
          <w:szCs w:val="20"/>
        </w:rPr>
        <w:t>A:</w:t>
      </w:r>
      <w:r w:rsidRPr="00C10A84">
        <w:rPr>
          <w:b/>
          <w:sz w:val="20"/>
          <w:szCs w:val="20"/>
        </w:rPr>
        <w:tab/>
      </w:r>
      <w:r>
        <w:rPr>
          <w:b/>
          <w:sz w:val="20"/>
          <w:szCs w:val="20"/>
        </w:rPr>
        <w:t>We will</w:t>
      </w:r>
      <w:r w:rsidRPr="00CD33DB">
        <w:rPr>
          <w:b/>
          <w:sz w:val="20"/>
          <w:szCs w:val="20"/>
        </w:rPr>
        <w:t xml:space="preserve"> be working as quickly as possible to update our forms as needed to reflect the change in statutory reference from </w:t>
      </w:r>
      <w:r w:rsidR="00AF49F2">
        <w:rPr>
          <w:b/>
          <w:sz w:val="20"/>
          <w:szCs w:val="20"/>
        </w:rPr>
        <w:t xml:space="preserve">s. </w:t>
      </w:r>
      <w:r w:rsidRPr="00CD33DB">
        <w:rPr>
          <w:b/>
          <w:sz w:val="20"/>
          <w:szCs w:val="20"/>
        </w:rPr>
        <w:t xml:space="preserve">77.255 relating to real estate transfer fee returns for conveyances exempt from the fee, to reflect the updated law number of </w:t>
      </w:r>
      <w:r w:rsidR="00AF49F2">
        <w:rPr>
          <w:b/>
          <w:sz w:val="20"/>
          <w:szCs w:val="20"/>
        </w:rPr>
        <w:t xml:space="preserve">s. </w:t>
      </w:r>
      <w:r w:rsidRPr="00CD33DB">
        <w:rPr>
          <w:b/>
          <w:sz w:val="20"/>
          <w:szCs w:val="20"/>
        </w:rPr>
        <w:t>77.256.</w:t>
      </w:r>
      <w:r>
        <w:rPr>
          <w:b/>
          <w:sz w:val="20"/>
          <w:szCs w:val="20"/>
        </w:rPr>
        <w:t xml:space="preserve"> </w:t>
      </w:r>
      <w:r w:rsidR="00AF49F2">
        <w:rPr>
          <w:b/>
          <w:sz w:val="20"/>
          <w:szCs w:val="20"/>
        </w:rPr>
        <w:t xml:space="preserve"> </w:t>
      </w:r>
      <w:r>
        <w:rPr>
          <w:b/>
          <w:sz w:val="20"/>
          <w:szCs w:val="20"/>
        </w:rPr>
        <w:t>We need to update references throughout the Real Estate Program Manual (REPM) as needed</w:t>
      </w:r>
      <w:r w:rsidR="00645602">
        <w:rPr>
          <w:b/>
          <w:sz w:val="20"/>
          <w:szCs w:val="20"/>
        </w:rPr>
        <w:t>,</w:t>
      </w:r>
      <w:r>
        <w:rPr>
          <w:b/>
          <w:sz w:val="20"/>
          <w:szCs w:val="20"/>
        </w:rPr>
        <w:t xml:space="preserve"> as time allows. </w:t>
      </w:r>
      <w:r w:rsidR="00AF49F2">
        <w:rPr>
          <w:b/>
          <w:sz w:val="20"/>
          <w:szCs w:val="20"/>
        </w:rPr>
        <w:t xml:space="preserve"> </w:t>
      </w:r>
      <w:r>
        <w:rPr>
          <w:b/>
          <w:sz w:val="20"/>
          <w:szCs w:val="20"/>
        </w:rPr>
        <w:t xml:space="preserve">We </w:t>
      </w:r>
      <w:r w:rsidR="003F1240">
        <w:rPr>
          <w:b/>
          <w:sz w:val="20"/>
          <w:szCs w:val="20"/>
        </w:rPr>
        <w:t>are</w:t>
      </w:r>
      <w:r>
        <w:rPr>
          <w:b/>
          <w:sz w:val="20"/>
          <w:szCs w:val="20"/>
        </w:rPr>
        <w:t xml:space="preserve"> also working to create a convenient and logical place throughout our RE web pages to </w:t>
      </w:r>
      <w:r w:rsidR="00AF49F2">
        <w:rPr>
          <w:b/>
          <w:sz w:val="20"/>
          <w:szCs w:val="20"/>
        </w:rPr>
        <w:t>link</w:t>
      </w:r>
      <w:r>
        <w:rPr>
          <w:b/>
          <w:sz w:val="20"/>
          <w:szCs w:val="20"/>
        </w:rPr>
        <w:t xml:space="preserve"> FAQ documents</w:t>
      </w:r>
      <w:r w:rsidR="00BC5298">
        <w:rPr>
          <w:b/>
          <w:sz w:val="20"/>
          <w:szCs w:val="20"/>
        </w:rPr>
        <w:t>, check lists, cheat sheets,</w:t>
      </w:r>
      <w:r>
        <w:rPr>
          <w:b/>
          <w:sz w:val="20"/>
          <w:szCs w:val="20"/>
        </w:rPr>
        <w:t xml:space="preserve"> and information such as this document</w:t>
      </w:r>
      <w:r w:rsidR="00AF49F2">
        <w:rPr>
          <w:b/>
          <w:sz w:val="20"/>
          <w:szCs w:val="20"/>
        </w:rPr>
        <w:t xml:space="preserve"> where staff and consultants can go for quick and easy reference</w:t>
      </w:r>
      <w:r>
        <w:rPr>
          <w:b/>
          <w:sz w:val="20"/>
          <w:szCs w:val="20"/>
        </w:rPr>
        <w:t xml:space="preserve">. </w:t>
      </w:r>
      <w:r w:rsidR="00AF49F2">
        <w:rPr>
          <w:b/>
          <w:sz w:val="20"/>
          <w:szCs w:val="20"/>
        </w:rPr>
        <w:t xml:space="preserve"> </w:t>
      </w:r>
      <w:r>
        <w:rPr>
          <w:b/>
          <w:sz w:val="20"/>
          <w:szCs w:val="20"/>
        </w:rPr>
        <w:t>Staff and consultants should watch for these updates and developments still to come and in progress.</w:t>
      </w:r>
    </w:p>
    <w:p w:rsidR="00CD33DB" w:rsidRPr="00C10A84" w:rsidRDefault="00CD33DB" w:rsidP="00CD33DB">
      <w:pPr>
        <w:spacing w:before="240"/>
        <w:ind w:left="720" w:hanging="720"/>
        <w:rPr>
          <w:sz w:val="20"/>
          <w:szCs w:val="20"/>
        </w:rPr>
      </w:pPr>
      <w:r w:rsidRPr="00C10A84">
        <w:rPr>
          <w:sz w:val="20"/>
          <w:szCs w:val="20"/>
        </w:rPr>
        <w:t>Q:</w:t>
      </w:r>
      <w:r w:rsidRPr="00C10A84">
        <w:rPr>
          <w:sz w:val="20"/>
          <w:szCs w:val="20"/>
        </w:rPr>
        <w:tab/>
      </w:r>
      <w:r>
        <w:rPr>
          <w:sz w:val="20"/>
          <w:szCs w:val="20"/>
        </w:rPr>
        <w:t>How do we handle materia</w:t>
      </w:r>
      <w:r w:rsidR="00DD7599">
        <w:rPr>
          <w:sz w:val="20"/>
          <w:szCs w:val="20"/>
        </w:rPr>
        <w:t xml:space="preserve">ls that might be caught in this </w:t>
      </w:r>
      <w:r>
        <w:rPr>
          <w:sz w:val="20"/>
          <w:szCs w:val="20"/>
        </w:rPr>
        <w:t>transition period?</w:t>
      </w:r>
    </w:p>
    <w:p w:rsidR="00D16561" w:rsidRDefault="00CD33DB" w:rsidP="00D53879">
      <w:pPr>
        <w:spacing w:before="120"/>
        <w:ind w:left="720" w:hanging="720"/>
        <w:rPr>
          <w:b/>
          <w:sz w:val="20"/>
          <w:szCs w:val="20"/>
        </w:rPr>
      </w:pPr>
      <w:r w:rsidRPr="00C10A84">
        <w:rPr>
          <w:b/>
          <w:sz w:val="20"/>
          <w:szCs w:val="20"/>
        </w:rPr>
        <w:t>A:</w:t>
      </w:r>
      <w:r w:rsidRPr="00C10A84">
        <w:rPr>
          <w:b/>
          <w:sz w:val="20"/>
          <w:szCs w:val="20"/>
        </w:rPr>
        <w:tab/>
      </w:r>
      <w:r>
        <w:rPr>
          <w:b/>
          <w:sz w:val="20"/>
          <w:szCs w:val="20"/>
        </w:rPr>
        <w:t>C</w:t>
      </w:r>
      <w:r w:rsidRPr="00CD33DB">
        <w:rPr>
          <w:b/>
          <w:sz w:val="20"/>
          <w:szCs w:val="20"/>
        </w:rPr>
        <w:t xml:space="preserve">onveyances dated prior to the creation of the real estate transfer fee law are exempt, but regions may need to work </w:t>
      </w:r>
      <w:r>
        <w:rPr>
          <w:b/>
          <w:sz w:val="20"/>
          <w:szCs w:val="20"/>
        </w:rPr>
        <w:t xml:space="preserve">directly </w:t>
      </w:r>
      <w:r w:rsidRPr="00CD33DB">
        <w:rPr>
          <w:b/>
          <w:sz w:val="20"/>
          <w:szCs w:val="20"/>
        </w:rPr>
        <w:t>with each count</w:t>
      </w:r>
      <w:r w:rsidR="00DD7599">
        <w:rPr>
          <w:b/>
          <w:sz w:val="20"/>
          <w:szCs w:val="20"/>
        </w:rPr>
        <w:t>y Register of Deeds o</w:t>
      </w:r>
      <w:r w:rsidRPr="00CD33DB">
        <w:rPr>
          <w:b/>
          <w:sz w:val="20"/>
          <w:szCs w:val="20"/>
        </w:rPr>
        <w:t xml:space="preserve">ffice on recent projects to ensure compliance. Most counties have Feb. </w:t>
      </w:r>
      <w:r>
        <w:rPr>
          <w:b/>
          <w:sz w:val="20"/>
          <w:szCs w:val="20"/>
        </w:rPr>
        <w:t>6</w:t>
      </w:r>
      <w:r w:rsidRPr="00CD33DB">
        <w:rPr>
          <w:b/>
          <w:sz w:val="20"/>
          <w:szCs w:val="20"/>
          <w:vertAlign w:val="superscript"/>
        </w:rPr>
        <w:t>th</w:t>
      </w:r>
      <w:r>
        <w:rPr>
          <w:b/>
          <w:sz w:val="20"/>
          <w:szCs w:val="20"/>
        </w:rPr>
        <w:t xml:space="preserve"> </w:t>
      </w:r>
      <w:r w:rsidRPr="00CD33DB">
        <w:rPr>
          <w:b/>
          <w:sz w:val="20"/>
          <w:szCs w:val="20"/>
        </w:rPr>
        <w:t>as their compliance date</w:t>
      </w:r>
      <w:r>
        <w:rPr>
          <w:b/>
          <w:sz w:val="20"/>
          <w:szCs w:val="20"/>
        </w:rPr>
        <w:t xml:space="preserve">. </w:t>
      </w:r>
      <w:r w:rsidR="00F25779">
        <w:rPr>
          <w:b/>
          <w:sz w:val="20"/>
          <w:szCs w:val="20"/>
        </w:rPr>
        <w:t xml:space="preserve"> </w:t>
      </w:r>
      <w:r>
        <w:rPr>
          <w:b/>
          <w:sz w:val="20"/>
          <w:szCs w:val="20"/>
        </w:rPr>
        <w:t>I</w:t>
      </w:r>
      <w:r w:rsidRPr="00CD33DB">
        <w:rPr>
          <w:b/>
          <w:sz w:val="20"/>
          <w:szCs w:val="20"/>
        </w:rPr>
        <w:t xml:space="preserve">f you sent in deeds before or around </w:t>
      </w:r>
      <w:r>
        <w:rPr>
          <w:b/>
          <w:sz w:val="20"/>
          <w:szCs w:val="20"/>
        </w:rPr>
        <w:t>the February 6, 2016</w:t>
      </w:r>
      <w:r w:rsidRPr="00CD33DB">
        <w:rPr>
          <w:b/>
          <w:sz w:val="20"/>
          <w:szCs w:val="20"/>
        </w:rPr>
        <w:t xml:space="preserve"> date for recording, you may need to make adjustments.</w:t>
      </w:r>
      <w:r w:rsidR="00022A0F">
        <w:rPr>
          <w:b/>
          <w:sz w:val="20"/>
          <w:szCs w:val="20"/>
        </w:rPr>
        <w:t xml:space="preserve"> </w:t>
      </w:r>
      <w:r w:rsidR="00F25779">
        <w:rPr>
          <w:b/>
          <w:sz w:val="20"/>
          <w:szCs w:val="20"/>
        </w:rPr>
        <w:t xml:space="preserve"> </w:t>
      </w:r>
      <w:r w:rsidR="00511437">
        <w:rPr>
          <w:b/>
          <w:sz w:val="20"/>
          <w:szCs w:val="20"/>
        </w:rPr>
        <w:t>Also,</w:t>
      </w:r>
      <w:r w:rsidR="00022A0F">
        <w:rPr>
          <w:b/>
          <w:sz w:val="20"/>
          <w:szCs w:val="20"/>
        </w:rPr>
        <w:t xml:space="preserve"> </w:t>
      </w:r>
      <w:r w:rsidR="00022A0F" w:rsidRPr="00D019E7">
        <w:rPr>
          <w:b/>
          <w:sz w:val="20"/>
          <w:szCs w:val="20"/>
        </w:rPr>
        <w:t>see</w:t>
      </w:r>
      <w:r w:rsidR="00022A0F">
        <w:rPr>
          <w:b/>
          <w:sz w:val="20"/>
          <w:szCs w:val="20"/>
        </w:rPr>
        <w:t xml:space="preserve"> Register of Deeds Association </w:t>
      </w:r>
      <w:hyperlink r:id="rId22" w:history="1">
        <w:r w:rsidR="00981DD5" w:rsidRPr="00D019E7">
          <w:rPr>
            <w:rStyle w:val="Hyperlink"/>
            <w:b/>
            <w:sz w:val="20"/>
            <w:szCs w:val="20"/>
          </w:rPr>
          <w:t xml:space="preserve">business partner </w:t>
        </w:r>
        <w:r w:rsidR="00022A0F" w:rsidRPr="00D019E7">
          <w:rPr>
            <w:rStyle w:val="Hyperlink"/>
            <w:b/>
            <w:sz w:val="20"/>
            <w:szCs w:val="20"/>
          </w:rPr>
          <w:t>letter</w:t>
        </w:r>
      </w:hyperlink>
      <w:r w:rsidR="00022A0F">
        <w:rPr>
          <w:b/>
          <w:sz w:val="20"/>
          <w:szCs w:val="20"/>
        </w:rPr>
        <w:t>.</w:t>
      </w:r>
    </w:p>
    <w:p w:rsidR="002F1E8B" w:rsidRPr="00C10A84" w:rsidRDefault="002F1E8B" w:rsidP="002F1E8B">
      <w:pPr>
        <w:spacing w:before="240"/>
        <w:ind w:left="720" w:hanging="720"/>
        <w:rPr>
          <w:sz w:val="20"/>
          <w:szCs w:val="20"/>
        </w:rPr>
      </w:pPr>
      <w:r w:rsidRPr="00C10A84">
        <w:rPr>
          <w:sz w:val="20"/>
          <w:szCs w:val="20"/>
        </w:rPr>
        <w:t>Q:</w:t>
      </w:r>
      <w:r w:rsidRPr="00C10A84">
        <w:rPr>
          <w:sz w:val="20"/>
          <w:szCs w:val="20"/>
        </w:rPr>
        <w:tab/>
      </w:r>
      <w:r w:rsidR="005111FD">
        <w:rPr>
          <w:sz w:val="20"/>
          <w:szCs w:val="20"/>
        </w:rPr>
        <w:t xml:space="preserve">What additional details will </w:t>
      </w:r>
      <w:proofErr w:type="gramStart"/>
      <w:r>
        <w:rPr>
          <w:sz w:val="20"/>
          <w:szCs w:val="20"/>
        </w:rPr>
        <w:t>I</w:t>
      </w:r>
      <w:proofErr w:type="gramEnd"/>
      <w:r>
        <w:rPr>
          <w:sz w:val="20"/>
          <w:szCs w:val="20"/>
        </w:rPr>
        <w:t xml:space="preserve"> need to use the eRETR system?</w:t>
      </w:r>
    </w:p>
    <w:p w:rsidR="002F1E8B" w:rsidRDefault="002F1E8B" w:rsidP="002F1E8B">
      <w:pPr>
        <w:spacing w:before="120"/>
        <w:ind w:left="720" w:hanging="720"/>
        <w:rPr>
          <w:b/>
          <w:sz w:val="20"/>
          <w:szCs w:val="20"/>
        </w:rPr>
      </w:pPr>
      <w:r w:rsidRPr="00C10A84">
        <w:rPr>
          <w:b/>
          <w:sz w:val="20"/>
          <w:szCs w:val="20"/>
        </w:rPr>
        <w:t>A:</w:t>
      </w:r>
      <w:r w:rsidRPr="00C10A84">
        <w:rPr>
          <w:b/>
          <w:sz w:val="20"/>
          <w:szCs w:val="20"/>
        </w:rPr>
        <w:tab/>
      </w:r>
      <w:r>
        <w:rPr>
          <w:b/>
          <w:sz w:val="20"/>
          <w:szCs w:val="20"/>
        </w:rPr>
        <w:t xml:space="preserve">All state agencies have an FEIN number and this will be needed for the eRETR, </w:t>
      </w:r>
      <w:r w:rsidRPr="00D019E7">
        <w:rPr>
          <w:b/>
          <w:sz w:val="20"/>
          <w:szCs w:val="20"/>
        </w:rPr>
        <w:t>see</w:t>
      </w:r>
      <w:r>
        <w:rPr>
          <w:b/>
          <w:sz w:val="20"/>
          <w:szCs w:val="20"/>
        </w:rPr>
        <w:t xml:space="preserve"> </w:t>
      </w:r>
      <w:hyperlink r:id="rId23" w:history="1">
        <w:r w:rsidRPr="00D019E7">
          <w:rPr>
            <w:rStyle w:val="Hyperlink"/>
            <w:b/>
            <w:sz w:val="20"/>
            <w:szCs w:val="20"/>
          </w:rPr>
          <w:t>WisDOT W-9</w:t>
        </w:r>
      </w:hyperlink>
      <w:r>
        <w:rPr>
          <w:b/>
          <w:sz w:val="20"/>
          <w:szCs w:val="20"/>
        </w:rPr>
        <w:t>.</w:t>
      </w:r>
    </w:p>
    <w:p w:rsidR="005111FD" w:rsidRPr="00C10A84" w:rsidRDefault="005111FD" w:rsidP="005111FD">
      <w:pPr>
        <w:spacing w:before="240"/>
        <w:ind w:left="720" w:hanging="720"/>
        <w:rPr>
          <w:sz w:val="20"/>
          <w:szCs w:val="20"/>
        </w:rPr>
      </w:pPr>
      <w:r w:rsidRPr="00C10A84">
        <w:rPr>
          <w:sz w:val="20"/>
          <w:szCs w:val="20"/>
        </w:rPr>
        <w:t>Q:</w:t>
      </w:r>
      <w:r w:rsidRPr="00C10A84">
        <w:rPr>
          <w:sz w:val="20"/>
          <w:szCs w:val="20"/>
        </w:rPr>
        <w:tab/>
      </w:r>
      <w:r>
        <w:rPr>
          <w:sz w:val="20"/>
          <w:szCs w:val="20"/>
        </w:rPr>
        <w:t>What if a grantor or grantee refuses to provide a social security number?</w:t>
      </w:r>
    </w:p>
    <w:p w:rsidR="005111FD" w:rsidRDefault="005111FD" w:rsidP="005111FD">
      <w:pPr>
        <w:spacing w:before="120"/>
        <w:ind w:left="720" w:hanging="720"/>
        <w:rPr>
          <w:b/>
          <w:sz w:val="20"/>
          <w:szCs w:val="20"/>
        </w:rPr>
      </w:pPr>
      <w:r w:rsidRPr="00C10A84">
        <w:rPr>
          <w:b/>
          <w:sz w:val="20"/>
          <w:szCs w:val="20"/>
        </w:rPr>
        <w:t>A:</w:t>
      </w:r>
      <w:r w:rsidRPr="00C10A84">
        <w:rPr>
          <w:b/>
          <w:sz w:val="20"/>
          <w:szCs w:val="20"/>
        </w:rPr>
        <w:tab/>
      </w:r>
      <w:r>
        <w:rPr>
          <w:b/>
          <w:sz w:val="20"/>
          <w:szCs w:val="20"/>
        </w:rPr>
        <w:t>We can enter all 9’s if a grantor/grantee will not provide a social security or other tax ID number.</w:t>
      </w:r>
    </w:p>
    <w:p w:rsidR="00FE50C4" w:rsidRPr="00C10A84" w:rsidRDefault="00FE50C4" w:rsidP="00FE50C4">
      <w:pPr>
        <w:spacing w:before="240"/>
        <w:ind w:left="720" w:hanging="720"/>
        <w:rPr>
          <w:sz w:val="20"/>
          <w:szCs w:val="20"/>
        </w:rPr>
      </w:pPr>
      <w:r w:rsidRPr="00C10A84">
        <w:rPr>
          <w:sz w:val="20"/>
          <w:szCs w:val="20"/>
        </w:rPr>
        <w:t>Q:</w:t>
      </w:r>
      <w:r w:rsidRPr="00C10A84">
        <w:rPr>
          <w:sz w:val="20"/>
          <w:szCs w:val="20"/>
        </w:rPr>
        <w:tab/>
      </w:r>
      <w:r>
        <w:rPr>
          <w:sz w:val="20"/>
          <w:szCs w:val="20"/>
        </w:rPr>
        <w:t xml:space="preserve">Where can </w:t>
      </w:r>
      <w:r w:rsidR="00F520F6">
        <w:rPr>
          <w:sz w:val="20"/>
          <w:szCs w:val="20"/>
        </w:rPr>
        <w:t>we</w:t>
      </w:r>
      <w:r>
        <w:rPr>
          <w:sz w:val="20"/>
          <w:szCs w:val="20"/>
        </w:rPr>
        <w:t xml:space="preserve"> </w:t>
      </w:r>
      <w:r w:rsidR="00F520F6">
        <w:rPr>
          <w:sz w:val="20"/>
          <w:szCs w:val="20"/>
        </w:rPr>
        <w:t>get</w:t>
      </w:r>
      <w:r>
        <w:rPr>
          <w:sz w:val="20"/>
          <w:szCs w:val="20"/>
        </w:rPr>
        <w:t xml:space="preserve"> more information, help and training?</w:t>
      </w:r>
    </w:p>
    <w:p w:rsidR="00FE50C4" w:rsidRDefault="00FE50C4" w:rsidP="00FE50C4">
      <w:pPr>
        <w:spacing w:before="120"/>
        <w:ind w:left="720" w:hanging="720"/>
        <w:rPr>
          <w:b/>
          <w:bCs/>
          <w:sz w:val="20"/>
          <w:szCs w:val="20"/>
        </w:rPr>
      </w:pPr>
      <w:r w:rsidRPr="000B1066">
        <w:rPr>
          <w:b/>
          <w:sz w:val="20"/>
          <w:szCs w:val="20"/>
        </w:rPr>
        <w:t>A:</w:t>
      </w:r>
      <w:r w:rsidRPr="000B1066">
        <w:rPr>
          <w:b/>
          <w:sz w:val="20"/>
          <w:szCs w:val="20"/>
        </w:rPr>
        <w:tab/>
      </w:r>
      <w:r w:rsidR="000B1066" w:rsidRPr="000B1066">
        <w:rPr>
          <w:b/>
          <w:bCs/>
          <w:sz w:val="20"/>
          <w:szCs w:val="20"/>
        </w:rPr>
        <w:t xml:space="preserve">DOR administers the eRETR program at </w:t>
      </w:r>
      <w:hyperlink r:id="rId24" w:history="1">
        <w:r w:rsidR="000B1066" w:rsidRPr="000B1066">
          <w:rPr>
            <w:rStyle w:val="Hyperlink"/>
            <w:b/>
            <w:bCs/>
            <w:sz w:val="20"/>
            <w:szCs w:val="20"/>
          </w:rPr>
          <w:t>https://www.revenue.wi.gov/retr/index.html</w:t>
        </w:r>
      </w:hyperlink>
      <w:r w:rsidR="000B1066" w:rsidRPr="000B1066">
        <w:rPr>
          <w:b/>
          <w:bCs/>
          <w:sz w:val="20"/>
          <w:szCs w:val="20"/>
        </w:rPr>
        <w:t xml:space="preserve">. DOR also developed some eRETR training videos viewable at </w:t>
      </w:r>
      <w:hyperlink r:id="rId25" w:history="1">
        <w:r w:rsidR="000B1066" w:rsidRPr="000B1066">
          <w:rPr>
            <w:rStyle w:val="Hyperlink"/>
            <w:b/>
            <w:bCs/>
            <w:sz w:val="20"/>
            <w:szCs w:val="20"/>
          </w:rPr>
          <w:t>https://www.youtube.com/watch?v=2K7AiPhlfFY</w:t>
        </w:r>
      </w:hyperlink>
      <w:r w:rsidR="000B1066" w:rsidRPr="000B1066">
        <w:rPr>
          <w:b/>
          <w:bCs/>
          <w:sz w:val="20"/>
          <w:szCs w:val="20"/>
        </w:rPr>
        <w:t>.</w:t>
      </w:r>
      <w:r w:rsidR="006005B0">
        <w:rPr>
          <w:b/>
          <w:bCs/>
          <w:sz w:val="20"/>
          <w:szCs w:val="20"/>
        </w:rPr>
        <w:t xml:space="preserve"> Key information is as follows:</w:t>
      </w:r>
    </w:p>
    <w:p w:rsidR="00C50064" w:rsidRPr="00C50064" w:rsidRDefault="00C50064" w:rsidP="00C50064">
      <w:pPr>
        <w:spacing w:before="120"/>
        <w:ind w:left="720"/>
        <w:rPr>
          <w:b/>
          <w:sz w:val="20"/>
          <w:szCs w:val="20"/>
        </w:rPr>
      </w:pPr>
      <w:r w:rsidRPr="00C50064">
        <w:rPr>
          <w:b/>
          <w:color w:val="000000"/>
          <w:sz w:val="20"/>
          <w:szCs w:val="20"/>
        </w:rPr>
        <w:t>Electronic Real Estate Transfer Return (eRETR) information:</w:t>
      </w:r>
    </w:p>
    <w:p w:rsidR="00C50064" w:rsidRPr="00C50064" w:rsidRDefault="003011A0" w:rsidP="00C50064">
      <w:pPr>
        <w:pStyle w:val="ListParagraph"/>
        <w:numPr>
          <w:ilvl w:val="0"/>
          <w:numId w:val="1"/>
        </w:numPr>
        <w:ind w:left="1440"/>
        <w:rPr>
          <w:rFonts w:ascii="Arial" w:hAnsi="Arial" w:cs="Arial"/>
          <w:b/>
          <w:sz w:val="20"/>
          <w:szCs w:val="20"/>
        </w:rPr>
      </w:pPr>
      <w:hyperlink r:id="rId26" w:history="1">
        <w:r w:rsidR="00C50064" w:rsidRPr="00C50064">
          <w:rPr>
            <w:rStyle w:val="Hyperlink"/>
            <w:rFonts w:ascii="Arial" w:hAnsi="Arial" w:cs="Arial"/>
            <w:b/>
            <w:sz w:val="20"/>
            <w:szCs w:val="20"/>
          </w:rPr>
          <w:t>Electronic Real Estate Transfer Return (eRETR) Overview</w:t>
        </w:r>
      </w:hyperlink>
    </w:p>
    <w:p w:rsidR="00C50064" w:rsidRPr="00C50064" w:rsidRDefault="003011A0" w:rsidP="00C50064">
      <w:pPr>
        <w:pStyle w:val="NoSpacing"/>
        <w:numPr>
          <w:ilvl w:val="0"/>
          <w:numId w:val="1"/>
        </w:numPr>
        <w:ind w:left="1440"/>
        <w:rPr>
          <w:rFonts w:ascii="Arial" w:hAnsi="Arial" w:cs="Arial"/>
          <w:b/>
          <w:sz w:val="20"/>
          <w:szCs w:val="20"/>
        </w:rPr>
      </w:pPr>
      <w:hyperlink r:id="rId27" w:history="1">
        <w:r w:rsidR="00C50064" w:rsidRPr="00C50064">
          <w:rPr>
            <w:rStyle w:val="Hyperlink"/>
            <w:rFonts w:ascii="Arial" w:hAnsi="Arial" w:cs="Arial"/>
            <w:b/>
            <w:sz w:val="20"/>
            <w:szCs w:val="20"/>
          </w:rPr>
          <w:t>Wisconsin Electronic Real Estate Transfer Return (RETR) Instructions</w:t>
        </w:r>
      </w:hyperlink>
    </w:p>
    <w:p w:rsidR="00C50064" w:rsidRPr="00C50064" w:rsidRDefault="00C50064" w:rsidP="00C50064">
      <w:pPr>
        <w:pStyle w:val="ListParagraph"/>
        <w:numPr>
          <w:ilvl w:val="0"/>
          <w:numId w:val="1"/>
        </w:numPr>
        <w:ind w:left="1440"/>
        <w:rPr>
          <w:rFonts w:ascii="Arial" w:hAnsi="Arial" w:cs="Arial"/>
          <w:b/>
          <w:sz w:val="20"/>
          <w:szCs w:val="20"/>
        </w:rPr>
      </w:pPr>
      <w:r w:rsidRPr="00C50064">
        <w:rPr>
          <w:rFonts w:ascii="Arial" w:hAnsi="Arial" w:cs="Arial"/>
          <w:b/>
          <w:color w:val="000000"/>
          <w:sz w:val="20"/>
          <w:szCs w:val="20"/>
        </w:rPr>
        <w:t xml:space="preserve">How to </w:t>
      </w:r>
      <w:hyperlink r:id="rId28" w:history="1">
        <w:r w:rsidRPr="00C50064">
          <w:rPr>
            <w:rStyle w:val="Hyperlink"/>
            <w:rFonts w:ascii="Arial" w:hAnsi="Arial" w:cs="Arial"/>
            <w:b/>
            <w:sz w:val="20"/>
            <w:szCs w:val="20"/>
          </w:rPr>
          <w:t>file</w:t>
        </w:r>
      </w:hyperlink>
      <w:r w:rsidRPr="00C50064">
        <w:rPr>
          <w:rFonts w:ascii="Arial" w:hAnsi="Arial" w:cs="Arial"/>
          <w:b/>
          <w:color w:val="000000"/>
          <w:sz w:val="20"/>
          <w:szCs w:val="20"/>
        </w:rPr>
        <w:t xml:space="preserve"> an eRETR and tips on completing the return.</w:t>
      </w:r>
    </w:p>
    <w:p w:rsidR="00C50064" w:rsidRPr="00C50064" w:rsidRDefault="00C50064" w:rsidP="00C50064">
      <w:pPr>
        <w:pStyle w:val="ListParagraph"/>
        <w:numPr>
          <w:ilvl w:val="0"/>
          <w:numId w:val="1"/>
        </w:numPr>
        <w:ind w:left="1440"/>
        <w:rPr>
          <w:rFonts w:ascii="Arial" w:hAnsi="Arial" w:cs="Arial"/>
          <w:b/>
          <w:sz w:val="20"/>
          <w:szCs w:val="20"/>
        </w:rPr>
      </w:pPr>
      <w:r w:rsidRPr="00C50064">
        <w:rPr>
          <w:rFonts w:ascii="Arial" w:hAnsi="Arial" w:cs="Arial"/>
          <w:b/>
          <w:color w:val="000000"/>
          <w:sz w:val="20"/>
          <w:szCs w:val="20"/>
        </w:rPr>
        <w:t xml:space="preserve">How to </w:t>
      </w:r>
      <w:hyperlink r:id="rId29" w:history="1">
        <w:r w:rsidRPr="00C50064">
          <w:rPr>
            <w:rStyle w:val="Hyperlink"/>
            <w:rFonts w:ascii="Arial" w:hAnsi="Arial" w:cs="Arial"/>
            <w:b/>
            <w:sz w:val="20"/>
            <w:szCs w:val="20"/>
          </w:rPr>
          <w:t>save</w:t>
        </w:r>
      </w:hyperlink>
      <w:r w:rsidRPr="00C50064">
        <w:rPr>
          <w:rFonts w:ascii="Arial" w:hAnsi="Arial" w:cs="Arial"/>
          <w:b/>
          <w:color w:val="000000"/>
          <w:sz w:val="20"/>
          <w:szCs w:val="20"/>
        </w:rPr>
        <w:t xml:space="preserve"> and </w:t>
      </w:r>
      <w:hyperlink r:id="rId30" w:history="1">
        <w:r w:rsidRPr="00C50064">
          <w:rPr>
            <w:rStyle w:val="Hyperlink"/>
            <w:rFonts w:ascii="Arial" w:hAnsi="Arial" w:cs="Arial"/>
            <w:b/>
            <w:sz w:val="20"/>
            <w:szCs w:val="20"/>
          </w:rPr>
          <w:t>restore</w:t>
        </w:r>
      </w:hyperlink>
      <w:r w:rsidRPr="00C50064">
        <w:rPr>
          <w:rFonts w:ascii="Arial" w:hAnsi="Arial" w:cs="Arial"/>
          <w:b/>
          <w:color w:val="000000"/>
          <w:sz w:val="20"/>
          <w:szCs w:val="20"/>
        </w:rPr>
        <w:t xml:space="preserve"> a file for completion, review and submission.</w:t>
      </w:r>
    </w:p>
    <w:p w:rsidR="00C50064" w:rsidRPr="00C50064" w:rsidRDefault="00C50064" w:rsidP="00C50064">
      <w:pPr>
        <w:pStyle w:val="NoSpacing"/>
        <w:ind w:left="1080"/>
        <w:rPr>
          <w:rFonts w:ascii="Arial" w:hAnsi="Arial" w:cs="Arial"/>
          <w:b/>
          <w:sz w:val="20"/>
          <w:szCs w:val="20"/>
        </w:rPr>
      </w:pPr>
    </w:p>
    <w:p w:rsidR="00C50064" w:rsidRPr="00C50064" w:rsidRDefault="00C50064" w:rsidP="00C50064">
      <w:pPr>
        <w:ind w:left="720"/>
        <w:rPr>
          <w:b/>
          <w:sz w:val="20"/>
          <w:szCs w:val="20"/>
        </w:rPr>
      </w:pPr>
      <w:r w:rsidRPr="00C50064">
        <w:rPr>
          <w:b/>
          <w:color w:val="000000"/>
          <w:sz w:val="20"/>
          <w:szCs w:val="20"/>
        </w:rPr>
        <w:t>Electronic Real Estate Transfer Return (eRETR) videos:</w:t>
      </w:r>
    </w:p>
    <w:p w:rsidR="00C50064" w:rsidRPr="00C50064" w:rsidRDefault="003011A0" w:rsidP="00C50064">
      <w:pPr>
        <w:pStyle w:val="NoSpacing"/>
        <w:numPr>
          <w:ilvl w:val="0"/>
          <w:numId w:val="2"/>
        </w:numPr>
        <w:ind w:left="1440"/>
        <w:rPr>
          <w:rFonts w:ascii="Arial" w:hAnsi="Arial" w:cs="Arial"/>
          <w:b/>
          <w:sz w:val="20"/>
          <w:szCs w:val="20"/>
        </w:rPr>
      </w:pPr>
      <w:hyperlink r:id="rId31" w:anchor="t=7" w:history="1">
        <w:r w:rsidR="00C50064" w:rsidRPr="00C50064">
          <w:rPr>
            <w:rStyle w:val="Hyperlink"/>
            <w:rFonts w:ascii="Arial" w:hAnsi="Arial" w:cs="Arial"/>
            <w:b/>
            <w:sz w:val="20"/>
            <w:szCs w:val="20"/>
          </w:rPr>
          <w:t>Electronic Real Estate Transfer Return (eRETR ) - Overview</w:t>
        </w:r>
      </w:hyperlink>
    </w:p>
    <w:p w:rsidR="00C50064" w:rsidRPr="00C50064" w:rsidRDefault="003011A0" w:rsidP="00C50064">
      <w:pPr>
        <w:pStyle w:val="NoSpacing"/>
        <w:numPr>
          <w:ilvl w:val="0"/>
          <w:numId w:val="2"/>
        </w:numPr>
        <w:ind w:left="1440"/>
        <w:rPr>
          <w:rFonts w:ascii="Arial" w:hAnsi="Arial" w:cs="Arial"/>
          <w:b/>
          <w:sz w:val="20"/>
          <w:szCs w:val="20"/>
        </w:rPr>
      </w:pPr>
      <w:hyperlink r:id="rId32" w:history="1">
        <w:r w:rsidR="00C50064" w:rsidRPr="00C50064">
          <w:rPr>
            <w:rStyle w:val="Hyperlink"/>
            <w:rFonts w:ascii="Arial" w:hAnsi="Arial" w:cs="Arial"/>
            <w:b/>
            <w:sz w:val="20"/>
            <w:szCs w:val="20"/>
          </w:rPr>
          <w:t>eRETR - Grantor/Grantee, Parcel &amp; Transfer</w:t>
        </w:r>
      </w:hyperlink>
    </w:p>
    <w:p w:rsidR="00C50064" w:rsidRPr="00C50064" w:rsidRDefault="003011A0" w:rsidP="00C50064">
      <w:pPr>
        <w:pStyle w:val="ListParagraph"/>
        <w:numPr>
          <w:ilvl w:val="0"/>
          <w:numId w:val="2"/>
        </w:numPr>
        <w:ind w:left="1440"/>
        <w:rPr>
          <w:rFonts w:ascii="Arial" w:hAnsi="Arial" w:cs="Arial"/>
          <w:b/>
          <w:sz w:val="20"/>
          <w:szCs w:val="20"/>
        </w:rPr>
      </w:pPr>
      <w:hyperlink r:id="rId33" w:anchor="t=9" w:history="1">
        <w:r w:rsidR="00C50064" w:rsidRPr="00C50064">
          <w:rPr>
            <w:rStyle w:val="Hyperlink"/>
            <w:rFonts w:ascii="Arial" w:hAnsi="Arial" w:cs="Arial"/>
            <w:b/>
            <w:sz w:val="20"/>
            <w:szCs w:val="20"/>
          </w:rPr>
          <w:t>eRETR - Fee Computation Section</w:t>
        </w:r>
      </w:hyperlink>
    </w:p>
    <w:p w:rsidR="00C50064" w:rsidRDefault="003011A0" w:rsidP="00C50064">
      <w:pPr>
        <w:pStyle w:val="NoSpacing"/>
        <w:numPr>
          <w:ilvl w:val="0"/>
          <w:numId w:val="2"/>
        </w:numPr>
        <w:ind w:left="1440"/>
        <w:rPr>
          <w:rFonts w:ascii="Arial" w:hAnsi="Arial" w:cs="Arial"/>
          <w:b/>
          <w:sz w:val="20"/>
          <w:szCs w:val="20"/>
        </w:rPr>
      </w:pPr>
      <w:hyperlink r:id="rId34" w:anchor="t=4" w:history="1">
        <w:r w:rsidR="00C50064" w:rsidRPr="00C50064">
          <w:rPr>
            <w:rStyle w:val="Hyperlink"/>
            <w:rFonts w:ascii="Arial" w:hAnsi="Arial" w:cs="Arial"/>
            <w:b/>
            <w:sz w:val="20"/>
            <w:szCs w:val="20"/>
          </w:rPr>
          <w:t>eRETR - Submitting Your Return</w:t>
        </w:r>
      </w:hyperlink>
    </w:p>
    <w:p w:rsidR="00C50064" w:rsidRDefault="003011A0" w:rsidP="00C50064">
      <w:pPr>
        <w:pStyle w:val="NoSpacing"/>
        <w:numPr>
          <w:ilvl w:val="0"/>
          <w:numId w:val="2"/>
        </w:numPr>
        <w:ind w:left="1440"/>
        <w:rPr>
          <w:rFonts w:ascii="Arial" w:hAnsi="Arial" w:cs="Arial"/>
          <w:b/>
          <w:sz w:val="20"/>
          <w:szCs w:val="20"/>
        </w:rPr>
      </w:pPr>
      <w:hyperlink r:id="rId35" w:anchor="t=1" w:history="1">
        <w:r w:rsidR="00C50064" w:rsidRPr="00C50064">
          <w:rPr>
            <w:rStyle w:val="Hyperlink"/>
            <w:rFonts w:ascii="Arial" w:hAnsi="Arial" w:cs="Arial"/>
            <w:b/>
            <w:sz w:val="20"/>
            <w:szCs w:val="20"/>
          </w:rPr>
          <w:t>eRETR - View and Print Return</w:t>
        </w:r>
      </w:hyperlink>
    </w:p>
    <w:p w:rsidR="005F0E68" w:rsidRPr="00705516" w:rsidRDefault="005F0E68" w:rsidP="005F0E68">
      <w:pPr>
        <w:ind w:left="720"/>
        <w:rPr>
          <w:b/>
          <w:bCs/>
          <w:color w:val="000000"/>
          <w:sz w:val="20"/>
          <w:szCs w:val="20"/>
        </w:rPr>
      </w:pPr>
    </w:p>
    <w:p w:rsidR="00602BC7" w:rsidRPr="00C64508" w:rsidRDefault="00602BC7" w:rsidP="00C64508">
      <w:pPr>
        <w:pBdr>
          <w:top w:val="single" w:sz="4" w:space="1" w:color="auto"/>
        </w:pBdr>
        <w:spacing w:before="120"/>
        <w:ind w:left="360"/>
        <w:rPr>
          <w:sz w:val="20"/>
          <w:szCs w:val="20"/>
        </w:rPr>
      </w:pPr>
      <w:r w:rsidRPr="00C64508">
        <w:rPr>
          <w:sz w:val="20"/>
          <w:szCs w:val="20"/>
        </w:rPr>
        <w:t xml:space="preserve">Regional Real Estate offices should work through their immediate communication chain and resources for quick questions and answers.  Complex issues can </w:t>
      </w:r>
      <w:r w:rsidR="00D94A83">
        <w:rPr>
          <w:sz w:val="20"/>
          <w:szCs w:val="20"/>
        </w:rPr>
        <w:t xml:space="preserve">go </w:t>
      </w:r>
      <w:r w:rsidRPr="00C64508">
        <w:rPr>
          <w:sz w:val="20"/>
          <w:szCs w:val="20"/>
        </w:rPr>
        <w:t xml:space="preserve">to </w:t>
      </w:r>
      <w:r w:rsidR="00C64508">
        <w:rPr>
          <w:sz w:val="20"/>
          <w:szCs w:val="20"/>
        </w:rPr>
        <w:t>BTS-RE/</w:t>
      </w:r>
      <w:hyperlink r:id="rId36" w:history="1">
        <w:r w:rsidRPr="00A65C56">
          <w:rPr>
            <w:rStyle w:val="Hyperlink"/>
            <w:sz w:val="20"/>
            <w:szCs w:val="20"/>
          </w:rPr>
          <w:t>Mark Ruszkiewicz</w:t>
        </w:r>
      </w:hyperlink>
      <w:r w:rsidRPr="00C64508">
        <w:rPr>
          <w:sz w:val="20"/>
          <w:szCs w:val="20"/>
        </w:rPr>
        <w:t xml:space="preserve">; (608) 516-6318 for an opinion </w:t>
      </w:r>
      <w:r w:rsidR="00825068">
        <w:rPr>
          <w:sz w:val="20"/>
          <w:szCs w:val="20"/>
        </w:rPr>
        <w:t>with an alert going to</w:t>
      </w:r>
      <w:r w:rsidRPr="00C64508">
        <w:rPr>
          <w:sz w:val="20"/>
          <w:szCs w:val="20"/>
        </w:rPr>
        <w:t xml:space="preserve"> </w:t>
      </w:r>
      <w:hyperlink r:id="rId37" w:history="1">
        <w:r w:rsidRPr="00A65C56">
          <w:rPr>
            <w:rStyle w:val="Hyperlink"/>
            <w:sz w:val="20"/>
            <w:szCs w:val="20"/>
          </w:rPr>
          <w:t>Sherry Miner</w:t>
        </w:r>
      </w:hyperlink>
      <w:r w:rsidRPr="00C64508">
        <w:rPr>
          <w:sz w:val="20"/>
          <w:szCs w:val="20"/>
        </w:rPr>
        <w:t xml:space="preserve">; (608) 266-2370 </w:t>
      </w:r>
      <w:r w:rsidR="00D94A83">
        <w:rPr>
          <w:sz w:val="20"/>
          <w:szCs w:val="20"/>
        </w:rPr>
        <w:t>on any</w:t>
      </w:r>
      <w:r w:rsidRPr="00C64508">
        <w:rPr>
          <w:sz w:val="20"/>
          <w:szCs w:val="20"/>
        </w:rPr>
        <w:t xml:space="preserve"> updates </w:t>
      </w:r>
      <w:r w:rsidR="00D94A83">
        <w:rPr>
          <w:sz w:val="20"/>
          <w:szCs w:val="20"/>
        </w:rPr>
        <w:t xml:space="preserve">required </w:t>
      </w:r>
      <w:r w:rsidRPr="00C64508">
        <w:rPr>
          <w:sz w:val="20"/>
          <w:szCs w:val="20"/>
        </w:rPr>
        <w:t xml:space="preserve">to </w:t>
      </w:r>
      <w:r w:rsidR="00825068">
        <w:rPr>
          <w:sz w:val="20"/>
          <w:szCs w:val="20"/>
        </w:rPr>
        <w:t xml:space="preserve">written </w:t>
      </w:r>
      <w:r w:rsidR="00D94A83">
        <w:rPr>
          <w:sz w:val="20"/>
          <w:szCs w:val="20"/>
        </w:rPr>
        <w:t>procedures or</w:t>
      </w:r>
      <w:r w:rsidRPr="00C64508">
        <w:rPr>
          <w:sz w:val="20"/>
          <w:szCs w:val="20"/>
        </w:rPr>
        <w:t xml:space="preserve"> </w:t>
      </w:r>
      <w:r w:rsidR="00492CCA">
        <w:rPr>
          <w:sz w:val="20"/>
          <w:szCs w:val="20"/>
        </w:rPr>
        <w:t>guides</w:t>
      </w:r>
      <w:r w:rsidRPr="00C64508">
        <w:rPr>
          <w:sz w:val="20"/>
          <w:szCs w:val="20"/>
        </w:rPr>
        <w:t>.</w:t>
      </w:r>
    </w:p>
    <w:sectPr w:rsidR="00602BC7" w:rsidRPr="00C64508" w:rsidSect="00D16561">
      <w:foot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0F6" w:rsidRDefault="00F520F6" w:rsidP="00F520F6">
      <w:r>
        <w:separator/>
      </w:r>
    </w:p>
  </w:endnote>
  <w:endnote w:type="continuationSeparator" w:id="0">
    <w:p w:rsidR="00F520F6" w:rsidRDefault="00F520F6" w:rsidP="00F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0F6" w:rsidRPr="00F520F6" w:rsidRDefault="00F520F6" w:rsidP="00F520F6">
    <w:pPr>
      <w:tabs>
        <w:tab w:val="center" w:pos="4550"/>
        <w:tab w:val="left" w:pos="5818"/>
      </w:tabs>
      <w:ind w:right="260"/>
      <w:jc w:val="right"/>
      <w:rPr>
        <w:sz w:val="16"/>
        <w:szCs w:val="16"/>
      </w:rPr>
    </w:pPr>
    <w:r w:rsidRPr="00F520F6">
      <w:rPr>
        <w:color w:val="8496B0" w:themeColor="text2" w:themeTint="99"/>
        <w:spacing w:val="60"/>
        <w:sz w:val="16"/>
        <w:szCs w:val="16"/>
      </w:rPr>
      <w:t>Page</w:t>
    </w:r>
    <w:r w:rsidRPr="00F520F6">
      <w:rPr>
        <w:color w:val="8496B0" w:themeColor="text2" w:themeTint="99"/>
        <w:sz w:val="16"/>
        <w:szCs w:val="16"/>
      </w:rPr>
      <w:t xml:space="preserve"> </w:t>
    </w:r>
    <w:r w:rsidRPr="00F520F6">
      <w:rPr>
        <w:color w:val="323E4F" w:themeColor="text2" w:themeShade="BF"/>
        <w:sz w:val="16"/>
        <w:szCs w:val="16"/>
      </w:rPr>
      <w:fldChar w:fldCharType="begin"/>
    </w:r>
    <w:r w:rsidRPr="00F520F6">
      <w:rPr>
        <w:color w:val="323E4F" w:themeColor="text2" w:themeShade="BF"/>
        <w:sz w:val="16"/>
        <w:szCs w:val="16"/>
      </w:rPr>
      <w:instrText xml:space="preserve"> PAGE   \* MERGEFORMAT </w:instrText>
    </w:r>
    <w:r w:rsidRPr="00F520F6">
      <w:rPr>
        <w:color w:val="323E4F" w:themeColor="text2" w:themeShade="BF"/>
        <w:sz w:val="16"/>
        <w:szCs w:val="16"/>
      </w:rPr>
      <w:fldChar w:fldCharType="separate"/>
    </w:r>
    <w:r w:rsidR="003011A0">
      <w:rPr>
        <w:noProof/>
        <w:color w:val="323E4F" w:themeColor="text2" w:themeShade="BF"/>
        <w:sz w:val="16"/>
        <w:szCs w:val="16"/>
      </w:rPr>
      <w:t>2</w:t>
    </w:r>
    <w:r w:rsidRPr="00F520F6">
      <w:rPr>
        <w:color w:val="323E4F" w:themeColor="text2" w:themeShade="BF"/>
        <w:sz w:val="16"/>
        <w:szCs w:val="16"/>
      </w:rPr>
      <w:fldChar w:fldCharType="end"/>
    </w:r>
    <w:r w:rsidRPr="00F520F6">
      <w:rPr>
        <w:color w:val="323E4F" w:themeColor="text2" w:themeShade="BF"/>
        <w:sz w:val="16"/>
        <w:szCs w:val="16"/>
      </w:rPr>
      <w:t xml:space="preserve"> | </w:t>
    </w:r>
    <w:r w:rsidRPr="00F520F6">
      <w:rPr>
        <w:color w:val="323E4F" w:themeColor="text2" w:themeShade="BF"/>
        <w:sz w:val="16"/>
        <w:szCs w:val="16"/>
      </w:rPr>
      <w:fldChar w:fldCharType="begin"/>
    </w:r>
    <w:r w:rsidRPr="00F520F6">
      <w:rPr>
        <w:color w:val="323E4F" w:themeColor="text2" w:themeShade="BF"/>
        <w:sz w:val="16"/>
        <w:szCs w:val="16"/>
      </w:rPr>
      <w:instrText xml:space="preserve"> NUMPAGES  \* Arabic  \* MERGEFORMAT </w:instrText>
    </w:r>
    <w:r w:rsidRPr="00F520F6">
      <w:rPr>
        <w:color w:val="323E4F" w:themeColor="text2" w:themeShade="BF"/>
        <w:sz w:val="16"/>
        <w:szCs w:val="16"/>
      </w:rPr>
      <w:fldChar w:fldCharType="separate"/>
    </w:r>
    <w:r w:rsidR="003011A0">
      <w:rPr>
        <w:noProof/>
        <w:color w:val="323E4F" w:themeColor="text2" w:themeShade="BF"/>
        <w:sz w:val="16"/>
        <w:szCs w:val="16"/>
      </w:rPr>
      <w:t>2</w:t>
    </w:r>
    <w:r w:rsidRPr="00F520F6">
      <w:rPr>
        <w:color w:val="323E4F" w:themeColor="text2" w:themeShade="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0F6" w:rsidRDefault="00F520F6" w:rsidP="00F520F6">
      <w:r>
        <w:separator/>
      </w:r>
    </w:p>
  </w:footnote>
  <w:footnote w:type="continuationSeparator" w:id="0">
    <w:p w:rsidR="00F520F6" w:rsidRDefault="00F520F6" w:rsidP="00F5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63AAA"/>
    <w:multiLevelType w:val="hybridMultilevel"/>
    <w:tmpl w:val="A620A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207ED5"/>
    <w:multiLevelType w:val="hybridMultilevel"/>
    <w:tmpl w:val="14DA3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5A5E16"/>
    <w:multiLevelType w:val="hybridMultilevel"/>
    <w:tmpl w:val="73364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61"/>
    <w:rsid w:val="00022A0F"/>
    <w:rsid w:val="0006606D"/>
    <w:rsid w:val="000722DC"/>
    <w:rsid w:val="00073A77"/>
    <w:rsid w:val="000A7CE9"/>
    <w:rsid w:val="000B1066"/>
    <w:rsid w:val="000D2014"/>
    <w:rsid w:val="000F23E0"/>
    <w:rsid w:val="000F5B2C"/>
    <w:rsid w:val="001377F2"/>
    <w:rsid w:val="00143BA6"/>
    <w:rsid w:val="001E3D28"/>
    <w:rsid w:val="00297D5D"/>
    <w:rsid w:val="002F1E8B"/>
    <w:rsid w:val="003011A0"/>
    <w:rsid w:val="00354CFD"/>
    <w:rsid w:val="003605CD"/>
    <w:rsid w:val="003E137F"/>
    <w:rsid w:val="003F1240"/>
    <w:rsid w:val="004771ED"/>
    <w:rsid w:val="00492CCA"/>
    <w:rsid w:val="004D47B0"/>
    <w:rsid w:val="004D6651"/>
    <w:rsid w:val="005111FD"/>
    <w:rsid w:val="00511437"/>
    <w:rsid w:val="005432BC"/>
    <w:rsid w:val="0057622B"/>
    <w:rsid w:val="00593B45"/>
    <w:rsid w:val="005F0E68"/>
    <w:rsid w:val="006005B0"/>
    <w:rsid w:val="00602A64"/>
    <w:rsid w:val="00602BC7"/>
    <w:rsid w:val="0062520F"/>
    <w:rsid w:val="00645602"/>
    <w:rsid w:val="00705516"/>
    <w:rsid w:val="00760105"/>
    <w:rsid w:val="007765B5"/>
    <w:rsid w:val="007C3144"/>
    <w:rsid w:val="007F1B80"/>
    <w:rsid w:val="00825068"/>
    <w:rsid w:val="00872598"/>
    <w:rsid w:val="00900EB3"/>
    <w:rsid w:val="00981DD5"/>
    <w:rsid w:val="00996E34"/>
    <w:rsid w:val="009C3118"/>
    <w:rsid w:val="00A65C56"/>
    <w:rsid w:val="00A904C9"/>
    <w:rsid w:val="00AA075F"/>
    <w:rsid w:val="00AB6A3F"/>
    <w:rsid w:val="00AF49F2"/>
    <w:rsid w:val="00B038F1"/>
    <w:rsid w:val="00B7051D"/>
    <w:rsid w:val="00BC5298"/>
    <w:rsid w:val="00BE7E23"/>
    <w:rsid w:val="00BF1529"/>
    <w:rsid w:val="00C10A84"/>
    <w:rsid w:val="00C21984"/>
    <w:rsid w:val="00C427FD"/>
    <w:rsid w:val="00C50064"/>
    <w:rsid w:val="00C64508"/>
    <w:rsid w:val="00C676C6"/>
    <w:rsid w:val="00CD33DB"/>
    <w:rsid w:val="00D019E7"/>
    <w:rsid w:val="00D16561"/>
    <w:rsid w:val="00D53879"/>
    <w:rsid w:val="00D94A83"/>
    <w:rsid w:val="00DC1501"/>
    <w:rsid w:val="00DD7599"/>
    <w:rsid w:val="00E201F8"/>
    <w:rsid w:val="00EA3773"/>
    <w:rsid w:val="00F25779"/>
    <w:rsid w:val="00F37328"/>
    <w:rsid w:val="00F520F6"/>
    <w:rsid w:val="00FE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FC02BB-4338-4B57-A407-CE922A46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A64"/>
    <w:rPr>
      <w:color w:val="0563C1" w:themeColor="hyperlink"/>
      <w:u w:val="single"/>
    </w:rPr>
  </w:style>
  <w:style w:type="paragraph" w:styleId="NoSpacing">
    <w:name w:val="No Spacing"/>
    <w:aliases w:val="Normal 2"/>
    <w:basedOn w:val="Normal"/>
    <w:uiPriority w:val="1"/>
    <w:qFormat/>
    <w:rsid w:val="00C50064"/>
    <w:rPr>
      <w:rFonts w:ascii="Calibri" w:eastAsiaTheme="minorHAnsi" w:hAnsi="Calibri" w:cs="Calibri"/>
      <w:sz w:val="21"/>
      <w:szCs w:val="21"/>
    </w:rPr>
  </w:style>
  <w:style w:type="paragraph" w:styleId="ListParagraph">
    <w:name w:val="List Paragraph"/>
    <w:basedOn w:val="Normal"/>
    <w:uiPriority w:val="34"/>
    <w:qFormat/>
    <w:rsid w:val="00C50064"/>
    <w:pPr>
      <w:ind w:left="720"/>
    </w:pPr>
    <w:rPr>
      <w:rFonts w:ascii="Calibri" w:eastAsiaTheme="minorHAnsi" w:hAnsi="Calibri" w:cs="Calibri"/>
      <w:sz w:val="21"/>
      <w:szCs w:val="21"/>
    </w:rPr>
  </w:style>
  <w:style w:type="paragraph" w:styleId="Header">
    <w:name w:val="header"/>
    <w:basedOn w:val="Normal"/>
    <w:link w:val="HeaderChar"/>
    <w:uiPriority w:val="99"/>
    <w:unhideWhenUsed/>
    <w:rsid w:val="00F520F6"/>
    <w:pPr>
      <w:tabs>
        <w:tab w:val="center" w:pos="4680"/>
        <w:tab w:val="right" w:pos="9360"/>
      </w:tabs>
    </w:pPr>
  </w:style>
  <w:style w:type="character" w:customStyle="1" w:styleId="HeaderChar">
    <w:name w:val="Header Char"/>
    <w:basedOn w:val="DefaultParagraphFont"/>
    <w:link w:val="Header"/>
    <w:uiPriority w:val="99"/>
    <w:rsid w:val="00F520F6"/>
    <w:rPr>
      <w:rFonts w:ascii="Arial" w:hAnsi="Arial" w:cs="Arial"/>
      <w:sz w:val="22"/>
      <w:szCs w:val="24"/>
    </w:rPr>
  </w:style>
  <w:style w:type="paragraph" w:styleId="Footer">
    <w:name w:val="footer"/>
    <w:basedOn w:val="Normal"/>
    <w:link w:val="FooterChar"/>
    <w:uiPriority w:val="99"/>
    <w:unhideWhenUsed/>
    <w:rsid w:val="00F520F6"/>
    <w:pPr>
      <w:tabs>
        <w:tab w:val="center" w:pos="4680"/>
        <w:tab w:val="right" w:pos="9360"/>
      </w:tabs>
    </w:pPr>
  </w:style>
  <w:style w:type="character" w:customStyle="1" w:styleId="FooterChar">
    <w:name w:val="Footer Char"/>
    <w:basedOn w:val="DefaultParagraphFont"/>
    <w:link w:val="Footer"/>
    <w:uiPriority w:val="99"/>
    <w:rsid w:val="00F520F6"/>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6715">
      <w:bodyDiv w:val="1"/>
      <w:marLeft w:val="0"/>
      <w:marRight w:val="0"/>
      <w:marTop w:val="0"/>
      <w:marBottom w:val="0"/>
      <w:divBdr>
        <w:top w:val="none" w:sz="0" w:space="0" w:color="auto"/>
        <w:left w:val="none" w:sz="0" w:space="0" w:color="auto"/>
        <w:bottom w:val="none" w:sz="0" w:space="0" w:color="auto"/>
        <w:right w:val="none" w:sz="0" w:space="0" w:color="auto"/>
      </w:divBdr>
    </w:div>
    <w:div w:id="821504202">
      <w:bodyDiv w:val="1"/>
      <w:marLeft w:val="0"/>
      <w:marRight w:val="0"/>
      <w:marTop w:val="0"/>
      <w:marBottom w:val="0"/>
      <w:divBdr>
        <w:top w:val="none" w:sz="0" w:space="0" w:color="auto"/>
        <w:left w:val="none" w:sz="0" w:space="0" w:color="auto"/>
        <w:bottom w:val="none" w:sz="0" w:space="0" w:color="auto"/>
        <w:right w:val="none" w:sz="0" w:space="0" w:color="auto"/>
      </w:divBdr>
    </w:div>
    <w:div w:id="155019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legis.wisconsin.gov/2015/proposals/sb279" TargetMode="External"/><Relationship Id="rId18" Type="http://schemas.openxmlformats.org/officeDocument/2006/relationships/hyperlink" Target="http://docs.legis.wisconsin.gov/document/statutes/77.255" TargetMode="External"/><Relationship Id="rId26" Type="http://schemas.openxmlformats.org/officeDocument/2006/relationships/hyperlink" Target="https://www.revenue.wi.gov/eretr/training/overview.pdf" TargetMode="External"/><Relationship Id="rId39" Type="http://schemas.openxmlformats.org/officeDocument/2006/relationships/fontTable" Target="fontTable.xml"/><Relationship Id="rId21" Type="http://schemas.openxmlformats.org/officeDocument/2006/relationships/hyperlink" Target="http://docs.legis.wisconsin.gov/document/statutes/707.02%2832%29" TargetMode="External"/><Relationship Id="rId34" Type="http://schemas.openxmlformats.org/officeDocument/2006/relationships/hyperlink" Target="https://www.youtube.com/watch?v=v7ItK2stHHo" TargetMode="External"/><Relationship Id="rId7" Type="http://schemas.openxmlformats.org/officeDocument/2006/relationships/webSettings" Target="webSettings.xml"/><Relationship Id="rId12" Type="http://schemas.openxmlformats.org/officeDocument/2006/relationships/hyperlink" Target="https://www.revenue.wi.gov/retr/index.html" TargetMode="External"/><Relationship Id="rId17" Type="http://schemas.openxmlformats.org/officeDocument/2006/relationships/hyperlink" Target="http://docs.legis.wisconsin.gov/document/statutes/77.22%282%29" TargetMode="External"/><Relationship Id="rId25" Type="http://schemas.openxmlformats.org/officeDocument/2006/relationships/hyperlink" Target="https://www.youtube.com/watch?v=2K7AiPhlfFY" TargetMode="External"/><Relationship Id="rId33" Type="http://schemas.openxmlformats.org/officeDocument/2006/relationships/hyperlink" Target="https://www.youtube.com/watch?v=dexYHqCTxu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ocs.legis.wisconsin.gov/document/statutes/846.16" TargetMode="External"/><Relationship Id="rId20" Type="http://schemas.openxmlformats.org/officeDocument/2006/relationships/hyperlink" Target="http://docs.legis.wisconsin.gov/statutes/statutes/77/II/21/1" TargetMode="External"/><Relationship Id="rId29" Type="http://schemas.openxmlformats.org/officeDocument/2006/relationships/hyperlink" Target="https://www.revenue.wi.gov/eretr/training/saveres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revenue.wi.gov/retr/index.html" TargetMode="External"/><Relationship Id="rId32" Type="http://schemas.openxmlformats.org/officeDocument/2006/relationships/hyperlink" Target="https://www.youtube.com/watch?v=NqLmk1gNhIA&amp;feature=youtu.be" TargetMode="External"/><Relationship Id="rId37" Type="http://schemas.openxmlformats.org/officeDocument/2006/relationships/hyperlink" Target="mailto:sherry.miner@dot.wi.gov"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docs.legis.wisconsin.gov/document/statutes/77.255" TargetMode="External"/><Relationship Id="rId23" Type="http://schemas.openxmlformats.org/officeDocument/2006/relationships/hyperlink" Target="http://apwmad0p4145:37108/dtsdManuals/re/re-staffresources/wisdot-W9.pdf" TargetMode="External"/><Relationship Id="rId28" Type="http://schemas.openxmlformats.org/officeDocument/2006/relationships/hyperlink" Target="https://www.revenue.wi.gov/eretr/training/howto12.pdf" TargetMode="External"/><Relationship Id="rId36" Type="http://schemas.openxmlformats.org/officeDocument/2006/relationships/hyperlink" Target="mailto:mark.ruszkiewicz@dot.wi.gov" TargetMode="External"/><Relationship Id="rId10" Type="http://schemas.openxmlformats.org/officeDocument/2006/relationships/hyperlink" Target="https://www.revenue.wi.gov/retr/index.html" TargetMode="External"/><Relationship Id="rId19" Type="http://schemas.openxmlformats.org/officeDocument/2006/relationships/hyperlink" Target="http://docs.legis.wisconsin.gov/document/statutes/77.25" TargetMode="External"/><Relationship Id="rId31" Type="http://schemas.openxmlformats.org/officeDocument/2006/relationships/hyperlink" Target="https://www.youtube.com/watch?v=2K7AiPhlfF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ocs.legis.wisconsin.gov/statutes/statutes/77/II/22/1" TargetMode="External"/><Relationship Id="rId22" Type="http://schemas.openxmlformats.org/officeDocument/2006/relationships/hyperlink" Target="http://apwmad0p4145:37108/dtsdManuals/re/re-staffresources/re-conveyance-bill-business-partners-ltr.docx" TargetMode="External"/><Relationship Id="rId27" Type="http://schemas.openxmlformats.org/officeDocument/2006/relationships/hyperlink" Target="https://www.revenue.wi.gov/eretr/training/detail.pdf" TargetMode="External"/><Relationship Id="rId30" Type="http://schemas.openxmlformats.org/officeDocument/2006/relationships/hyperlink" Target="https://www.revenue.wi.gov/eretr/training/saverest.pdf" TargetMode="External"/><Relationship Id="rId35" Type="http://schemas.openxmlformats.org/officeDocument/2006/relationships/hyperlink" Target="https://www.youtube.com/watch?v=r7anJBUC16M"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00A14-E08A-40C9-9ED0-6CD89C7DDD44}"/>
</file>

<file path=customXml/itemProps2.xml><?xml version="1.0" encoding="utf-8"?>
<ds:datastoreItem xmlns:ds="http://schemas.openxmlformats.org/officeDocument/2006/customXml" ds:itemID="{2B070C94-B946-4FDA-B444-EDB67AC96F74}"/>
</file>

<file path=customXml/itemProps3.xml><?xml version="1.0" encoding="utf-8"?>
<ds:datastoreItem xmlns:ds="http://schemas.openxmlformats.org/officeDocument/2006/customXml" ds:itemID="{2744C536-C61D-4A29-9750-EDEA2D322F7F}"/>
</file>

<file path=docProps/app.xml><?xml version="1.0" encoding="utf-8"?>
<Properties xmlns="http://schemas.openxmlformats.org/officeDocument/2006/extended-properties" xmlns:vt="http://schemas.openxmlformats.org/officeDocument/2006/docPropsVTypes">
  <Template>Normal.dotm</Template>
  <TotalTime>15</TotalTime>
  <Pages>2</Pages>
  <Words>1301</Words>
  <Characters>8533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Frequently Asked Questions/Answers to Real Estate Transfer Return Process</vt:lpstr>
    </vt:vector>
  </TitlesOfParts>
  <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Questions/Answers to Real Estate Transfer Return Process</dc:title>
  <dc:subject/>
  <dc:creator>WisDOT Real Estate</dc:creator>
  <cp:keywords>Frequently Asked Questions/Answers to Real Estate Transfer Return Process</cp:keywords>
  <dc:description>Frequently Asked Questions/Answers to Real Estate Transfer Return Process</dc:description>
  <cp:lastModifiedBy>MINER, SHERRY S</cp:lastModifiedBy>
  <cp:revision>12</cp:revision>
  <dcterms:created xsi:type="dcterms:W3CDTF">2016-02-16T19:44:00Z</dcterms:created>
  <dcterms:modified xsi:type="dcterms:W3CDTF">2016-02-16T22:58:00Z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