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2FA39" w14:textId="4C80A699" w:rsidR="0058694A" w:rsidRPr="002944BC" w:rsidRDefault="0058694A" w:rsidP="00BC6EA4">
      <w:pPr>
        <w:pStyle w:val="wiComment"/>
      </w:pPr>
      <w:r>
        <w:t>000-Notes to designer:</w:t>
      </w:r>
      <w:r w:rsidR="00FD6B0F">
        <w:t xml:space="preserve"> The designer shall specify, on the plans, all abutment/bridge lateral loads required for the design of the abutment anchorage. Refer to WisDOT Bridge Standard 14.04 for additional information.</w:t>
      </w:r>
      <w:r w:rsidRPr="002944BC">
        <w:t xml:space="preserve"> </w:t>
      </w:r>
      <w:r w:rsidRPr="00DE4808">
        <w:rPr>
          <w:highlight w:val="yellow"/>
        </w:rPr>
        <w:t>(DELETE FROM CONTRACT)</w:t>
      </w:r>
    </w:p>
    <w:p w14:paraId="01F62970" w14:textId="60C69ECA" w:rsidR="0058694A" w:rsidRPr="00151F07" w:rsidRDefault="00337554" w:rsidP="0058694A">
      <w:pPr>
        <w:pStyle w:val="1Heading1"/>
        <w:numPr>
          <w:ilvl w:val="0"/>
          <w:numId w:val="1"/>
        </w:numPr>
        <w:spacing w:line="259" w:lineRule="auto"/>
        <w:ind w:left="0" w:hanging="720"/>
        <w:rPr>
          <w:szCs w:val="22"/>
        </w:rPr>
      </w:pPr>
      <w:r>
        <w:rPr>
          <w:szCs w:val="22"/>
        </w:rPr>
        <w:t>Abutment Anchorage</w:t>
      </w:r>
      <w:r w:rsidR="0058694A" w:rsidRPr="00151F07">
        <w:rPr>
          <w:szCs w:val="22"/>
        </w:rPr>
        <w:t xml:space="preserve">, Item </w:t>
      </w:r>
      <w:r>
        <w:rPr>
          <w:szCs w:val="22"/>
        </w:rPr>
        <w:t>SPV.</w:t>
      </w:r>
      <w:proofErr w:type="gramStart"/>
      <w:r>
        <w:rPr>
          <w:szCs w:val="22"/>
        </w:rPr>
        <w:t>0090.xx</w:t>
      </w:r>
      <w:r w:rsidR="0058694A">
        <w:rPr>
          <w:szCs w:val="22"/>
        </w:rPr>
        <w:t>.</w:t>
      </w:r>
      <w:proofErr w:type="gramEnd"/>
    </w:p>
    <w:p w14:paraId="5BA06129" w14:textId="77777777" w:rsidR="0058694A" w:rsidRPr="00A555F9" w:rsidRDefault="0058694A" w:rsidP="00AF79FF">
      <w:pPr>
        <w:pStyle w:val="spParagraph"/>
        <w:rPr>
          <w:rStyle w:val="spHeading"/>
        </w:rPr>
      </w:pPr>
      <w:proofErr w:type="gramStart"/>
      <w:r w:rsidRPr="00A555F9">
        <w:rPr>
          <w:rStyle w:val="spHeading"/>
        </w:rPr>
        <w:t>A  Description</w:t>
      </w:r>
      <w:proofErr w:type="gramEnd"/>
    </w:p>
    <w:p w14:paraId="32BC59EF" w14:textId="7E8425C0" w:rsidR="0058694A" w:rsidRDefault="0058694A" w:rsidP="00AF79FF">
      <w:pPr>
        <w:pStyle w:val="spParagraph"/>
      </w:pPr>
      <w:r>
        <w:t xml:space="preserve">This special provision describes providing </w:t>
      </w:r>
      <w:r w:rsidR="00337554">
        <w:t xml:space="preserve">designing, furnishing materials, and erecting a permanent abutment anchorage according to the lines, </w:t>
      </w:r>
      <w:proofErr w:type="gramStart"/>
      <w:r w:rsidR="00337554">
        <w:t>dimension</w:t>
      </w:r>
      <w:proofErr w:type="gramEnd"/>
      <w:r w:rsidR="00337554">
        <w:t>, elevations, and details as shown on the plans and provided in the contract. The design life of the abutment anchorage system shall be 75 years minimum</w:t>
      </w:r>
      <w:r>
        <w:t>.</w:t>
      </w:r>
    </w:p>
    <w:p w14:paraId="2FAE098C" w14:textId="6EFA2813" w:rsidR="00337554" w:rsidRDefault="00337554" w:rsidP="00AF79FF">
      <w:pPr>
        <w:pStyle w:val="spParagraph"/>
      </w:pPr>
      <w:r>
        <w:t>This special provision describes the quality management program (QMP) for abutment anchorage. A quality management program is defined as all activities, including process control, inspection, sampling and testing, and necessary adjustments in the process that are related to the construction of the abutment anchorage, which meets all the requirements of this provision.</w:t>
      </w:r>
    </w:p>
    <w:p w14:paraId="7378C072" w14:textId="3DE552D4" w:rsidR="00337554" w:rsidRDefault="00337554" w:rsidP="00AF79FF">
      <w:pPr>
        <w:pStyle w:val="spParagraph"/>
      </w:pPr>
      <w:r>
        <w:t>This special provision describes contractor quality control (QC) sampling and testing for backfill density testing, documenting those results, and documenting related production and placement process changes.  This special provision also describes department quality verification (QV), independent assurance (IA), and dispute resolution.</w:t>
      </w:r>
    </w:p>
    <w:p w14:paraId="2C690283" w14:textId="2D673913" w:rsidR="00337554" w:rsidRDefault="00337554" w:rsidP="00AF79FF">
      <w:pPr>
        <w:pStyle w:val="spParagraph"/>
      </w:pPr>
      <w:r>
        <w:t>Chapter 8 of the department’s construction and materials manual (CMM) provides additional detailed guidance for QMP work and describes sampling and testing procedures.</w:t>
      </w:r>
    </w:p>
    <w:p w14:paraId="7ED2EFDA" w14:textId="77777777" w:rsidR="0058694A" w:rsidRDefault="0058694A" w:rsidP="00AF79FF">
      <w:pPr>
        <w:pStyle w:val="spParagraph"/>
        <w:rPr>
          <w:rStyle w:val="spHeading"/>
        </w:rPr>
      </w:pPr>
      <w:proofErr w:type="gramStart"/>
      <w:r w:rsidRPr="00A555F9">
        <w:rPr>
          <w:rStyle w:val="spHeading"/>
        </w:rPr>
        <w:t>B  Materials</w:t>
      </w:r>
      <w:proofErr w:type="gramEnd"/>
    </w:p>
    <w:p w14:paraId="5176493C" w14:textId="6C0E94E9" w:rsidR="003E180A" w:rsidRPr="00A555F9" w:rsidRDefault="003E180A" w:rsidP="00AF79FF">
      <w:pPr>
        <w:pStyle w:val="spParagraph"/>
        <w:rPr>
          <w:rStyle w:val="spHeading"/>
        </w:rPr>
      </w:pPr>
      <w:proofErr w:type="gramStart"/>
      <w:r>
        <w:rPr>
          <w:rStyle w:val="spHeading"/>
        </w:rPr>
        <w:t xml:space="preserve">B.1 </w:t>
      </w:r>
      <w:r w:rsidR="00E43710">
        <w:rPr>
          <w:rStyle w:val="spHeading"/>
        </w:rPr>
        <w:t xml:space="preserve"> </w:t>
      </w:r>
      <w:r>
        <w:rPr>
          <w:rStyle w:val="spHeading"/>
        </w:rPr>
        <w:t>Proprietary</w:t>
      </w:r>
      <w:proofErr w:type="gramEnd"/>
      <w:r>
        <w:rPr>
          <w:rStyle w:val="spHeading"/>
        </w:rPr>
        <w:t xml:space="preserve"> Wall Systems</w:t>
      </w:r>
    </w:p>
    <w:p w14:paraId="22D768C5" w14:textId="77777777" w:rsidR="003E180A" w:rsidRPr="003E180A" w:rsidRDefault="003E180A" w:rsidP="003E180A">
      <w:pPr>
        <w:rPr>
          <w:rFonts w:eastAsia="Calibri" w:cs="Arial"/>
        </w:rPr>
      </w:pPr>
      <w:r w:rsidRPr="003E180A">
        <w:rPr>
          <w:rFonts w:eastAsia="Calibri" w:cs="Arial"/>
        </w:rPr>
        <w:t xml:space="preserve">The supplied abutment anchorage must be from the department’s approved list of Concrete Panel Mechanically Stabilized Earth Wall systems. Proprietary wall systems must conform to the requirements of this specification and be pre-approved for use by the department’s Bureau of Structures. The department maintains a list of pre-approved proprietary wall systems. The name of the pre-approved proprietary wall system selected shall be furnished to the engineer within 25 days after the award of contract. </w:t>
      </w:r>
    </w:p>
    <w:p w14:paraId="3CDB03AA" w14:textId="77777777" w:rsidR="003E180A" w:rsidRDefault="003E180A" w:rsidP="003E180A">
      <w:pPr>
        <w:rPr>
          <w:rFonts w:eastAsia="Calibri" w:cs="Arial"/>
        </w:rPr>
      </w:pPr>
      <w:r w:rsidRPr="003E180A">
        <w:rPr>
          <w:rFonts w:eastAsia="Calibri" w:cs="Arial"/>
        </w:rPr>
        <w:t xml:space="preserve">To be eligible for use on this project, a system must have been pre-approved by the Bureau of Structures and added to that list prior to the bid opening date. To receive pre-approval, the retaining wall system must comply with all pertinent requirements of this provision and be prepared according to the requirements of Chapter 14 of the department’s LRFD Bridge Manual. Information and assistance with the pre-approval process can be obtained by contacting the Bureau of Structures, Structures Maintenance Section at the following email address: </w:t>
      </w:r>
      <w:hyperlink r:id="rId11" w:history="1">
        <w:r w:rsidRPr="003E180A">
          <w:rPr>
            <w:rFonts w:eastAsia="Calibri" w:cs="Arial"/>
            <w:color w:val="0000FF"/>
            <w:u w:val="single"/>
          </w:rPr>
          <w:t>DOTDLStructuresFabrication@dot.wi.gov</w:t>
        </w:r>
      </w:hyperlink>
      <w:r w:rsidRPr="003E180A">
        <w:rPr>
          <w:rFonts w:eastAsia="Calibri" w:cs="Arial"/>
        </w:rPr>
        <w:t xml:space="preserve">. </w:t>
      </w:r>
    </w:p>
    <w:p w14:paraId="15A2CDA5" w14:textId="0E765103" w:rsidR="003E180A" w:rsidRDefault="003E180A" w:rsidP="003E180A">
      <w:pPr>
        <w:jc w:val="both"/>
        <w:rPr>
          <w:rFonts w:eastAsia="Calibri" w:cs="Arial"/>
          <w:b/>
          <w:bCs/>
        </w:rPr>
      </w:pPr>
      <w:proofErr w:type="gramStart"/>
      <w:r>
        <w:rPr>
          <w:rFonts w:eastAsia="Calibri" w:cs="Arial"/>
          <w:b/>
          <w:bCs/>
        </w:rPr>
        <w:t xml:space="preserve">B.2 </w:t>
      </w:r>
      <w:r w:rsidR="00E43710">
        <w:rPr>
          <w:rFonts w:eastAsia="Calibri" w:cs="Arial"/>
          <w:b/>
          <w:bCs/>
        </w:rPr>
        <w:t xml:space="preserve"> </w:t>
      </w:r>
      <w:r>
        <w:rPr>
          <w:rFonts w:eastAsia="Calibri" w:cs="Arial"/>
          <w:b/>
          <w:bCs/>
        </w:rPr>
        <w:t>Design</w:t>
      </w:r>
      <w:proofErr w:type="gramEnd"/>
      <w:r>
        <w:rPr>
          <w:rFonts w:eastAsia="Calibri" w:cs="Arial"/>
          <w:b/>
          <w:bCs/>
        </w:rPr>
        <w:t xml:space="preserve"> Requirements</w:t>
      </w:r>
    </w:p>
    <w:p w14:paraId="711751F9" w14:textId="77777777" w:rsidR="00C56C9C" w:rsidRPr="00C56C9C" w:rsidRDefault="00C56C9C" w:rsidP="00C56C9C">
      <w:pPr>
        <w:rPr>
          <w:rFonts w:eastAsia="Calibri" w:cs="Arial"/>
        </w:rPr>
      </w:pPr>
      <w:r w:rsidRPr="00C56C9C">
        <w:rPr>
          <w:rFonts w:eastAsia="Calibri" w:cs="Arial"/>
        </w:rPr>
        <w:t xml:space="preserve">It is the responsibility of the contractor to submit a design and </w:t>
      </w:r>
      <w:proofErr w:type="gramStart"/>
      <w:r w:rsidRPr="00C56C9C">
        <w:rPr>
          <w:rFonts w:eastAsia="Calibri" w:cs="Arial"/>
        </w:rPr>
        <w:t>supporting</w:t>
      </w:r>
      <w:proofErr w:type="gramEnd"/>
      <w:r w:rsidRPr="00C56C9C">
        <w:rPr>
          <w:rFonts w:eastAsia="Calibri" w:cs="Arial"/>
        </w:rPr>
        <w:t xml:space="preserve"> documentation as required by this special provision, for review and acceptance by the department, to show the proposed abutment anchorage design </w:t>
      </w:r>
      <w:proofErr w:type="gramStart"/>
      <w:r w:rsidRPr="00C56C9C">
        <w:rPr>
          <w:rFonts w:eastAsia="Calibri" w:cs="Arial"/>
        </w:rPr>
        <w:t>is in compliance with</w:t>
      </w:r>
      <w:proofErr w:type="gramEnd"/>
      <w:r w:rsidRPr="00C56C9C">
        <w:rPr>
          <w:rFonts w:eastAsia="Calibri" w:cs="Arial"/>
        </w:rPr>
        <w:t xml:space="preserve"> the design specifications. The submittal shall include the following items for review: detailed plans and shop drawings, complete design calculations, explanatory notes, supporting materials, and specifications. The detailed plans and shop drawings shall include all details, dimensions, quantities and cross-sections necessary to construct the abutment anchorage. Submit shop drawings to the engineer conforming to standard spec 105.2 with electronic submittal to the fabrication library under standard spec 105.2.2. Certify that shop drawings conform to quality control standards by submitting department form </w:t>
      </w:r>
      <w:hyperlink r:id="rId12" w:history="1">
        <w:r w:rsidRPr="00C56C9C">
          <w:rPr>
            <w:rStyle w:val="Hyperlink"/>
            <w:rFonts w:eastAsia="Calibri" w:cs="Arial"/>
          </w:rPr>
          <w:t>DT2329</w:t>
        </w:r>
      </w:hyperlink>
      <w:r w:rsidRPr="00C56C9C">
        <w:rPr>
          <w:rFonts w:eastAsia="Calibri" w:cs="Arial"/>
        </w:rPr>
        <w:t xml:space="preserve"> with each set of shop drawings. Department review does not relieve the contractor from responsibility for errors or omissions </w:t>
      </w:r>
      <w:proofErr w:type="gramStart"/>
      <w:r w:rsidRPr="00C56C9C">
        <w:rPr>
          <w:rFonts w:eastAsia="Calibri" w:cs="Arial"/>
        </w:rPr>
        <w:t>on</w:t>
      </w:r>
      <w:proofErr w:type="gramEnd"/>
      <w:r w:rsidRPr="00C56C9C">
        <w:rPr>
          <w:rFonts w:eastAsia="Calibri" w:cs="Arial"/>
        </w:rPr>
        <w:t xml:space="preserve"> shop drawings. Submit no later than 60 days from the date of notification to proceed with the project and a minimum of 30 days prior to the date proposed to begin abutment anchorage construction. </w:t>
      </w:r>
    </w:p>
    <w:p w14:paraId="26B0A7DB" w14:textId="77F60C27" w:rsidR="00C56C9C" w:rsidRPr="00C56C9C" w:rsidRDefault="00C56C9C" w:rsidP="00C56C9C">
      <w:pPr>
        <w:rPr>
          <w:rFonts w:eastAsia="Calibri" w:cs="Arial"/>
        </w:rPr>
      </w:pPr>
      <w:r w:rsidRPr="00C56C9C">
        <w:rPr>
          <w:rFonts w:eastAsia="Calibri" w:cs="Arial"/>
        </w:rPr>
        <w:t xml:space="preserve">The plans and shop drawings shall be prepared on reproducible sheets </w:t>
      </w:r>
      <w:proofErr w:type="gramStart"/>
      <w:r w:rsidRPr="00C56C9C">
        <w:rPr>
          <w:rFonts w:eastAsia="Calibri" w:cs="Arial"/>
        </w:rPr>
        <w:t>11 inch</w:t>
      </w:r>
      <w:proofErr w:type="gramEnd"/>
      <w:r w:rsidRPr="00C56C9C">
        <w:rPr>
          <w:rFonts w:eastAsia="Calibri" w:cs="Arial"/>
        </w:rPr>
        <w:t xml:space="preserve"> x 17 inch, including borders. Each sheet shall have a title block in the lower right corner. The title block shall include the WisDOT project identification number and structure number. Design calculations and notes shall be on 8½ inch x </w:t>
      </w:r>
      <w:proofErr w:type="gramStart"/>
      <w:r w:rsidRPr="00C56C9C">
        <w:rPr>
          <w:rFonts w:eastAsia="Calibri" w:cs="Arial"/>
        </w:rPr>
        <w:t>11 inch</w:t>
      </w:r>
      <w:proofErr w:type="gramEnd"/>
      <w:r w:rsidRPr="00C56C9C">
        <w:rPr>
          <w:rFonts w:eastAsia="Calibri" w:cs="Arial"/>
        </w:rPr>
        <w:t xml:space="preserve"> sheets, and shall contain the project identification number, name or designation of the wall, date of preparation, initials of designer and checker, and page number at the top of the page. All plans, shop drawings, and calculations shall be signed, sealed and dated by a professional engineer licensed in the State of Wisconsin. </w:t>
      </w:r>
    </w:p>
    <w:p w14:paraId="622453B3" w14:textId="77777777" w:rsidR="00C56C9C" w:rsidRPr="00C56C9C" w:rsidRDefault="00C56C9C" w:rsidP="00C56C9C">
      <w:pPr>
        <w:rPr>
          <w:rFonts w:eastAsia="Calibri" w:cs="Arial"/>
        </w:rPr>
      </w:pPr>
      <w:r w:rsidRPr="00C56C9C">
        <w:rPr>
          <w:rFonts w:eastAsia="Calibri" w:cs="Arial"/>
        </w:rPr>
        <w:t xml:space="preserve">The design of the abutment anchorage shall be in compliance with the current American Association of State Highway and Transportation Officials LRFD (AASHTO LRFD) Bridge Design Specifications with </w:t>
      </w:r>
      <w:r w:rsidRPr="00C56C9C">
        <w:rPr>
          <w:rFonts w:eastAsia="Calibri" w:cs="Arial"/>
        </w:rPr>
        <w:lastRenderedPageBreak/>
        <w:t xml:space="preserve">latest interim specifications for Mechanically Stabilized Earth Walls, the department’s current Standard Specifications for Highway and Structure Construction (standard spec), Chapter 14 of the department’s LRFD Bridge Manual and standard engineering design procedures as determined by the department. Loads, load combinations, load and resistance factors shall be as specified in AASHTO LRFD Section 11. The associated resistance factors shall be defined according to Table 11.5.7-1 in AASHTO LRFD. </w:t>
      </w:r>
    </w:p>
    <w:p w14:paraId="26ABDD62" w14:textId="77777777" w:rsidR="00C56C9C" w:rsidRPr="00C56C9C" w:rsidRDefault="00C56C9C" w:rsidP="00C56C9C">
      <w:pPr>
        <w:rPr>
          <w:rFonts w:eastAsia="Calibri" w:cs="Arial"/>
        </w:rPr>
      </w:pPr>
      <w:r w:rsidRPr="00C56C9C">
        <w:rPr>
          <w:rFonts w:eastAsia="Calibri" w:cs="Arial"/>
        </w:rPr>
        <w:t xml:space="preserve">Design and construct the abutment anchorage according to the lines, grades, heights and dimensions shown on the plans, as herein specified, and as directed by the engineer. Where walls or wall sections intersect with an included angle of 130 degrees or less, a vertical corner element separate from the standard panel face shall abut and interact with the opposing standard panels. The corner element shall have ground reinforcement connected specifically to that panel and shall be designed to preclude lateral spread of the intersecting panels. </w:t>
      </w:r>
    </w:p>
    <w:p w14:paraId="2A58CCE6" w14:textId="77777777" w:rsidR="00C56C9C" w:rsidRPr="00C56C9C" w:rsidRDefault="00C56C9C" w:rsidP="00C56C9C">
      <w:pPr>
        <w:rPr>
          <w:rFonts w:eastAsia="Calibri" w:cs="Arial"/>
        </w:rPr>
      </w:pPr>
      <w:r w:rsidRPr="00C56C9C">
        <w:rPr>
          <w:rFonts w:eastAsia="Calibri" w:cs="Arial"/>
        </w:rPr>
        <w:t xml:space="preserve">The abutment anchorage shall be designed to resist the applied abutment/bridge lateral forces specified on the plans. </w:t>
      </w:r>
    </w:p>
    <w:p w14:paraId="2BB9544B" w14:textId="77777777" w:rsidR="00C56C9C" w:rsidRPr="00C56C9C" w:rsidRDefault="00C56C9C" w:rsidP="00C56C9C">
      <w:pPr>
        <w:rPr>
          <w:rFonts w:eastAsia="Calibri" w:cs="Arial"/>
        </w:rPr>
      </w:pPr>
      <w:r w:rsidRPr="00C56C9C">
        <w:rPr>
          <w:rFonts w:eastAsia="Calibri" w:cs="Arial"/>
        </w:rPr>
        <w:t xml:space="preserve">Abutment anchorage parallel to supporting highway traffic shall be designed for the effects of highway surcharge loading equivalent of 2 feet soil surcharge weight or 240 psf. The design </w:t>
      </w:r>
      <w:proofErr w:type="gramStart"/>
      <w:r w:rsidRPr="00C56C9C">
        <w:rPr>
          <w:rFonts w:eastAsia="Calibri" w:cs="Arial"/>
        </w:rPr>
        <w:t>shall</w:t>
      </w:r>
      <w:proofErr w:type="gramEnd"/>
      <w:r w:rsidRPr="00C56C9C">
        <w:rPr>
          <w:rFonts w:eastAsia="Calibri" w:cs="Arial"/>
        </w:rPr>
        <w:t xml:space="preserve"> also consider the traffic barrier impact where applicable. Abutment anchorage that does not carry highway traffic shall be designed for a live load surcharge of 100 </w:t>
      </w:r>
      <w:proofErr w:type="spellStart"/>
      <w:r w:rsidRPr="00C56C9C">
        <w:rPr>
          <w:rFonts w:eastAsia="Calibri" w:cs="Arial"/>
        </w:rPr>
        <w:t>psf</w:t>
      </w:r>
      <w:proofErr w:type="spellEnd"/>
      <w:r w:rsidRPr="00C56C9C">
        <w:rPr>
          <w:rFonts w:eastAsia="Calibri" w:cs="Arial"/>
        </w:rPr>
        <w:t xml:space="preserve"> according to Chapter 14 of the WisDOT LRFD Bridge Manual or as stated on the plans. </w:t>
      </w:r>
    </w:p>
    <w:p w14:paraId="7FE398AF" w14:textId="77777777" w:rsidR="00C56C9C" w:rsidRPr="00C56C9C" w:rsidRDefault="00C56C9C" w:rsidP="00C56C9C">
      <w:pPr>
        <w:rPr>
          <w:rFonts w:eastAsia="Calibri" w:cs="Arial"/>
        </w:rPr>
      </w:pPr>
      <w:proofErr w:type="gramStart"/>
      <w:r w:rsidRPr="00C56C9C">
        <w:rPr>
          <w:rFonts w:eastAsia="Calibri" w:cs="Arial"/>
        </w:rPr>
        <w:t>A maximum</w:t>
      </w:r>
      <w:proofErr w:type="gramEnd"/>
      <w:r w:rsidRPr="00C56C9C">
        <w:rPr>
          <w:rFonts w:eastAsia="Calibri" w:cs="Arial"/>
        </w:rPr>
        <w:t xml:space="preserve"> value of the angle of internal friction of the wall backfill material used for design shall be assumed to be 30 degrees without a certified report of tests. If a certified report of tests yields an angle of internal friction greater than 30 degrees, the larger test value may be used for design, up to a maximum value of 36 degrees. </w:t>
      </w:r>
    </w:p>
    <w:p w14:paraId="596570CD" w14:textId="77777777" w:rsidR="00C56C9C" w:rsidRPr="00C56C9C" w:rsidRDefault="00C56C9C" w:rsidP="00C56C9C">
      <w:pPr>
        <w:rPr>
          <w:rFonts w:eastAsia="Calibri" w:cs="Arial"/>
        </w:rPr>
      </w:pPr>
      <w:r w:rsidRPr="00C56C9C">
        <w:rPr>
          <w:rFonts w:eastAsia="Calibri" w:cs="Arial"/>
        </w:rPr>
        <w:t xml:space="preserve">An external stability </w:t>
      </w:r>
      <w:proofErr w:type="gramStart"/>
      <w:r w:rsidRPr="00C56C9C">
        <w:rPr>
          <w:rFonts w:eastAsia="Calibri" w:cs="Arial"/>
        </w:rPr>
        <w:t>check</w:t>
      </w:r>
      <w:proofErr w:type="gramEnd"/>
      <w:r w:rsidRPr="00C56C9C">
        <w:rPr>
          <w:rFonts w:eastAsia="Calibri" w:cs="Arial"/>
        </w:rPr>
        <w:t xml:space="preserve"> at critical wall stations showing Capacity Demand Ratios (CDR) for sliding, eccentricity, and bearing checks is performed by the department and are provided on the plan. </w:t>
      </w:r>
    </w:p>
    <w:p w14:paraId="18662C49" w14:textId="190F9F7C" w:rsidR="00C56C9C" w:rsidRPr="00C56C9C" w:rsidRDefault="00C56C9C" w:rsidP="00C56C9C">
      <w:pPr>
        <w:rPr>
          <w:rFonts w:eastAsia="Calibri" w:cs="Arial"/>
        </w:rPr>
      </w:pPr>
      <w:r w:rsidRPr="00C56C9C">
        <w:rPr>
          <w:rFonts w:eastAsia="Calibri" w:cs="Arial"/>
        </w:rPr>
        <w:t>The design of the wall by the Contractor shall consider the internal and compound stability of the wall mass in accordance with AASHTO LRFD 11.10.6. The internal stability shall include soil reinforcement pullout, soil reinforcement rupture, and panel-reinforcement connection failure at each soil reinforcement level. The design shall be performed using the Simplified Method or Coherent Gravity Method. Calculations for factored stresses and resistances shall be based upon assumed conditions at the end of the design life. The value of the pullout resistance factor, F*, used in design calculations shall be obtained from the AASHTO LRFD Figure 11.10.6.3.2-2 as appropriate to the proposed reinforcement type. Compound stability shall be computed for the applicable strength limits. Sample analyses and hand calculations shall be submitted to verify the output of any software program used. The design calculations and notes shall clearly indicate the Capacity to Demand Ratios (CDR) for all internal and external stabilities as defined in AASHTO LRFD.</w:t>
      </w:r>
    </w:p>
    <w:p w14:paraId="22BDADA2" w14:textId="77777777" w:rsidR="00C56C9C" w:rsidRPr="00C56C9C" w:rsidRDefault="00C56C9C" w:rsidP="00C56C9C">
      <w:pPr>
        <w:rPr>
          <w:rFonts w:eastAsia="Calibri" w:cs="Arial"/>
        </w:rPr>
      </w:pPr>
      <w:r w:rsidRPr="00C56C9C">
        <w:rPr>
          <w:rFonts w:eastAsia="Calibri" w:cs="Arial"/>
        </w:rPr>
        <w:t xml:space="preserve">The minimum length of soil reinforcement measured from the back face of the abutment shall be equal to 0.7 of the wall height or as shown on the wall plan for the wall adjacent to the abutment. In no case shall this length be less than 8 feet. The soil reinforcement length shall be the same from the bottom to the top of the wall. All soil reinforcement layers shall be connected to the abutment. The soil reinforcement shall </w:t>
      </w:r>
      <w:proofErr w:type="gramStart"/>
      <w:r w:rsidRPr="00C56C9C">
        <w:rPr>
          <w:rFonts w:eastAsia="Calibri" w:cs="Arial"/>
        </w:rPr>
        <w:t>extend</w:t>
      </w:r>
      <w:proofErr w:type="gramEnd"/>
      <w:r w:rsidRPr="00C56C9C">
        <w:rPr>
          <w:rFonts w:eastAsia="Calibri" w:cs="Arial"/>
        </w:rPr>
        <w:t xml:space="preserve"> a minimum of 3.0 feet beyond the theoretical failure plane in all cases. The maximum vertical spacing of soil reinforcement layers shall be 31 inches. The uppermost layer of the reinforcement shall be located between 6 inches and 18 inches below the bottom of an overlying slab, footing or top of the abutment. The upper layers of </w:t>
      </w:r>
      <w:proofErr w:type="gramStart"/>
      <w:r w:rsidRPr="00C56C9C">
        <w:rPr>
          <w:rFonts w:eastAsia="Calibri" w:cs="Arial"/>
        </w:rPr>
        <w:t>the soil</w:t>
      </w:r>
      <w:proofErr w:type="gramEnd"/>
      <w:r w:rsidRPr="00C56C9C">
        <w:rPr>
          <w:rFonts w:eastAsia="Calibri" w:cs="Arial"/>
        </w:rPr>
        <w:t xml:space="preserve"> reinforcement shall also be checked to verify that they have sufficient tensile resistance against traffic barrier impact where applicable. </w:t>
      </w:r>
    </w:p>
    <w:p w14:paraId="61BAF3C5" w14:textId="77777777" w:rsidR="00C56C9C" w:rsidRPr="00C56C9C" w:rsidRDefault="00C56C9C" w:rsidP="00C56C9C">
      <w:pPr>
        <w:rPr>
          <w:rFonts w:eastAsia="Calibri" w:cs="Arial"/>
        </w:rPr>
      </w:pPr>
      <w:r w:rsidRPr="00C56C9C">
        <w:rPr>
          <w:rFonts w:eastAsia="Calibri" w:cs="Arial"/>
        </w:rPr>
        <w:t xml:space="preserve">All soil reinforcement required for the reinforced soil zone shall be connected to the abutment. The reinforcement and the reinforcement/abutment connection strength shall be designed to resist maximum factored reinforcement loads according to AASHTO LRFD Section 11.10.6. Abutment connection strength shall be defined as the resistance factor times the failure load, or the load at </w:t>
      </w:r>
      <w:proofErr w:type="gramStart"/>
      <w:r w:rsidRPr="00C56C9C">
        <w:rPr>
          <w:rFonts w:eastAsia="Calibri" w:cs="Arial"/>
        </w:rPr>
        <w:t>0.5 inch</w:t>
      </w:r>
      <w:proofErr w:type="gramEnd"/>
      <w:r w:rsidRPr="00C56C9C">
        <w:rPr>
          <w:rFonts w:eastAsia="Calibri" w:cs="Arial"/>
        </w:rPr>
        <w:t xml:space="preserve"> deformation times 0.9, whichever is less. The nominal long term design strength in steel reinforcement and connections shall be based upon assumed conditions at the end of the design life. </w:t>
      </w:r>
    </w:p>
    <w:p w14:paraId="5C26B730" w14:textId="77777777" w:rsidR="00C56C9C" w:rsidRDefault="00C56C9C" w:rsidP="00C56C9C">
      <w:pPr>
        <w:rPr>
          <w:rFonts w:eastAsia="Calibri" w:cs="Arial"/>
        </w:rPr>
      </w:pPr>
      <w:r w:rsidRPr="00C56C9C">
        <w:rPr>
          <w:rFonts w:eastAsia="Calibri" w:cs="Arial"/>
        </w:rPr>
        <w:t xml:space="preserve">Soil reinforcement shall be prefabricated into single or multiple elements before galvanizing. Soil reinforcement shall be fabricated or designed to avoid piling, drainage structures or other obstacles in the fill without field modifications. Unless approved by the Bureau of Structures cutting or altering of the basic structural section of either the strip or grid at the site is prohibited, a minimum clearance of 3” shall be maintained between any obstruction and reinforcement, and splicing reinforcement is not allowed. </w:t>
      </w:r>
    </w:p>
    <w:p w14:paraId="04DE96FE" w14:textId="1F68B1B6" w:rsidR="00C56C9C" w:rsidRDefault="00C56C9C" w:rsidP="00C56C9C">
      <w:pPr>
        <w:rPr>
          <w:rFonts w:eastAsia="Calibri" w:cs="Arial"/>
          <w:b/>
          <w:bCs/>
        </w:rPr>
      </w:pPr>
      <w:proofErr w:type="gramStart"/>
      <w:r>
        <w:rPr>
          <w:rFonts w:eastAsia="Calibri" w:cs="Arial"/>
          <w:b/>
          <w:bCs/>
        </w:rPr>
        <w:t xml:space="preserve">B.3 </w:t>
      </w:r>
      <w:r w:rsidR="00E43710">
        <w:rPr>
          <w:rFonts w:eastAsia="Calibri" w:cs="Arial"/>
          <w:b/>
          <w:bCs/>
        </w:rPr>
        <w:t xml:space="preserve"> </w:t>
      </w:r>
      <w:r>
        <w:rPr>
          <w:rFonts w:eastAsia="Calibri" w:cs="Arial"/>
          <w:b/>
          <w:bCs/>
        </w:rPr>
        <w:t>Abutment</w:t>
      </w:r>
      <w:proofErr w:type="gramEnd"/>
      <w:r>
        <w:rPr>
          <w:rFonts w:eastAsia="Calibri" w:cs="Arial"/>
          <w:b/>
          <w:bCs/>
        </w:rPr>
        <w:t xml:space="preserve"> Anchorage System Components</w:t>
      </w:r>
    </w:p>
    <w:p w14:paraId="3A6B84C4" w14:textId="77777777" w:rsidR="00C56C9C" w:rsidRPr="00C56C9C" w:rsidRDefault="00C56C9C" w:rsidP="00C56C9C">
      <w:pPr>
        <w:rPr>
          <w:rFonts w:eastAsia="Calibri" w:cs="Arial"/>
        </w:rPr>
      </w:pPr>
      <w:r w:rsidRPr="00C56C9C">
        <w:rPr>
          <w:rFonts w:eastAsia="Calibri" w:cs="Arial"/>
        </w:rPr>
        <w:lastRenderedPageBreak/>
        <w:t xml:space="preserve">Materials furnished for abutment anchorage system components under this contract shall conform to the requirements of this specification. All documentation related to material and components of the abutment anchorage systems specified in this subsection shall be submitted to the engineer. </w:t>
      </w:r>
    </w:p>
    <w:p w14:paraId="28D1749D" w14:textId="39FFA4F9" w:rsidR="00C56C9C" w:rsidRDefault="00C56C9C" w:rsidP="00C56C9C">
      <w:pPr>
        <w:rPr>
          <w:rFonts w:eastAsia="Calibri" w:cs="Arial"/>
          <w:b/>
          <w:bCs/>
        </w:rPr>
      </w:pPr>
      <w:proofErr w:type="gramStart"/>
      <w:r>
        <w:rPr>
          <w:rFonts w:eastAsia="Calibri" w:cs="Arial"/>
          <w:b/>
          <w:bCs/>
        </w:rPr>
        <w:t xml:space="preserve">B.3.1 </w:t>
      </w:r>
      <w:r w:rsidR="00E43710">
        <w:rPr>
          <w:rFonts w:eastAsia="Calibri" w:cs="Arial"/>
          <w:b/>
          <w:bCs/>
        </w:rPr>
        <w:t xml:space="preserve"> </w:t>
      </w:r>
      <w:r>
        <w:rPr>
          <w:rFonts w:eastAsia="Calibri" w:cs="Arial"/>
          <w:b/>
          <w:bCs/>
        </w:rPr>
        <w:t>Backfill</w:t>
      </w:r>
      <w:proofErr w:type="gramEnd"/>
    </w:p>
    <w:p w14:paraId="2DDB3C74" w14:textId="77777777" w:rsidR="0062543B" w:rsidRPr="0062543B" w:rsidRDefault="0062543B" w:rsidP="0062543B">
      <w:pPr>
        <w:keepNext/>
        <w:keepLines/>
        <w:rPr>
          <w:rFonts w:eastAsia="Calibri" w:cs="Arial"/>
        </w:rPr>
      </w:pPr>
      <w:r w:rsidRPr="0062543B">
        <w:rPr>
          <w:rFonts w:eastAsia="Calibri" w:cs="Arial"/>
        </w:rPr>
        <w:t xml:space="preserve">Furnish and place backfill for the abutment anchorage as shown on the plans and as hereinafter provided. </w:t>
      </w:r>
    </w:p>
    <w:p w14:paraId="4EAAF8C5" w14:textId="77777777" w:rsidR="0062543B" w:rsidRPr="0062543B" w:rsidRDefault="0062543B" w:rsidP="0062543B">
      <w:pPr>
        <w:keepNext/>
        <w:keepLines/>
        <w:rPr>
          <w:rFonts w:eastAsia="Calibri" w:cs="Arial"/>
        </w:rPr>
      </w:pPr>
      <w:proofErr w:type="gramStart"/>
      <w:r w:rsidRPr="0062543B">
        <w:rPr>
          <w:rFonts w:eastAsia="Calibri" w:cs="Arial"/>
        </w:rPr>
        <w:t>Place</w:t>
      </w:r>
      <w:proofErr w:type="gramEnd"/>
      <w:r w:rsidRPr="0062543B">
        <w:rPr>
          <w:rFonts w:eastAsia="Calibri" w:cs="Arial"/>
        </w:rPr>
        <w:t xml:space="preserve"> backfill in a zone extending horizontally from the back face of the abutment to 1 foot minimum beyond the end of the reinforcement and extending vertically from the bottom of abutment to a minimum of 3 inches above the final reinforcement layer. </w:t>
      </w:r>
    </w:p>
    <w:p w14:paraId="1016741D" w14:textId="77777777" w:rsidR="0062543B" w:rsidRPr="0062543B" w:rsidRDefault="0062543B" w:rsidP="0062543B">
      <w:pPr>
        <w:rPr>
          <w:rFonts w:eastAsia="Calibri" w:cs="Arial"/>
        </w:rPr>
      </w:pPr>
      <w:r w:rsidRPr="0062543B">
        <w:rPr>
          <w:rFonts w:eastAsia="Calibri" w:cs="Arial"/>
        </w:rPr>
        <w:t xml:space="preserve">Use natural sand or a mixture of sand with gravel, crushed gravel or crushed stone. Do not use foundry sand, bottom ash, blast furnace slag, crushed/recycled concrete, crushed/milled asphaltic concrete or other potentially corrosive material. </w:t>
      </w:r>
    </w:p>
    <w:p w14:paraId="48712825" w14:textId="0AADFCB9" w:rsidR="0062543B" w:rsidRDefault="0062543B" w:rsidP="0062543B">
      <w:pPr>
        <w:spacing w:after="240"/>
        <w:rPr>
          <w:rFonts w:eastAsia="Calibri" w:cs="Arial"/>
        </w:rPr>
      </w:pPr>
      <w:r w:rsidRPr="0062543B">
        <w:rPr>
          <w:rFonts w:eastAsia="Calibri" w:cs="Arial"/>
        </w:rPr>
        <w:t xml:space="preserve">Provide material conforming to the following </w:t>
      </w:r>
      <w:proofErr w:type="spellStart"/>
      <w:r w:rsidRPr="0062543B">
        <w:rPr>
          <w:rFonts w:eastAsia="Calibri" w:cs="Arial"/>
        </w:rPr>
        <w:t>gradation</w:t>
      </w:r>
      <w:proofErr w:type="spellEnd"/>
      <w:r w:rsidRPr="0062543B">
        <w:rPr>
          <w:rFonts w:eastAsia="Calibri" w:cs="Arial"/>
        </w:rPr>
        <w:t xml:space="preserve"> requirements as per AASHTO T27</w:t>
      </w:r>
      <w:r>
        <w:rPr>
          <w:rFonts w:eastAsia="Calibri" w:cs="Arial"/>
        </w:rPr>
        <w:t>:</w:t>
      </w:r>
      <w:r w:rsidRPr="0062543B">
        <w:rPr>
          <w:rFonts w:eastAsia="Calibri" w:cs="Arial"/>
        </w:rPr>
        <w:t xml:space="preserve"> </w:t>
      </w:r>
    </w:p>
    <w:tbl>
      <w:tblPr>
        <w:tblStyle w:val="TableGrid"/>
        <w:tblW w:w="0" w:type="auto"/>
        <w:tblLook w:val="04A0" w:firstRow="1" w:lastRow="0" w:firstColumn="1" w:lastColumn="0" w:noHBand="0" w:noVBand="1"/>
      </w:tblPr>
      <w:tblGrid>
        <w:gridCol w:w="2337"/>
        <w:gridCol w:w="2337"/>
      </w:tblGrid>
      <w:tr w:rsidR="0062543B" w:rsidRPr="008F502E" w14:paraId="1E1EF669" w14:textId="77777777" w:rsidTr="00F2402B">
        <w:tc>
          <w:tcPr>
            <w:tcW w:w="2337" w:type="dxa"/>
          </w:tcPr>
          <w:p w14:paraId="5951A2DB" w14:textId="323DB825" w:rsidR="0062543B" w:rsidRPr="003D3B59" w:rsidRDefault="0062543B" w:rsidP="00F2402B">
            <w:pPr>
              <w:pStyle w:val="spTable"/>
              <w:rPr>
                <w:b/>
              </w:rPr>
            </w:pPr>
            <w:r>
              <w:rPr>
                <w:b/>
              </w:rPr>
              <w:t>Sieve Size</w:t>
            </w:r>
          </w:p>
        </w:tc>
        <w:tc>
          <w:tcPr>
            <w:tcW w:w="2337" w:type="dxa"/>
          </w:tcPr>
          <w:p w14:paraId="2BE18B3E" w14:textId="71D0A735" w:rsidR="0062543B" w:rsidRPr="003D3B59" w:rsidRDefault="0062543B" w:rsidP="00F2402B">
            <w:pPr>
              <w:pStyle w:val="spTable"/>
              <w:rPr>
                <w:b/>
              </w:rPr>
            </w:pPr>
            <w:r>
              <w:rPr>
                <w:b/>
              </w:rPr>
              <w:t>% by Weight Passing</w:t>
            </w:r>
          </w:p>
        </w:tc>
      </w:tr>
      <w:tr w:rsidR="0062543B" w:rsidRPr="008F502E" w14:paraId="7631BDCD" w14:textId="77777777" w:rsidTr="00F2402B">
        <w:tc>
          <w:tcPr>
            <w:tcW w:w="2337" w:type="dxa"/>
          </w:tcPr>
          <w:p w14:paraId="24DFDFC1" w14:textId="3C2B6453" w:rsidR="0062543B" w:rsidRPr="008F502E" w:rsidRDefault="0062543B" w:rsidP="00F2402B">
            <w:pPr>
              <w:pStyle w:val="spTable"/>
            </w:pPr>
            <w:r>
              <w:t>1 inch</w:t>
            </w:r>
          </w:p>
        </w:tc>
        <w:tc>
          <w:tcPr>
            <w:tcW w:w="2337" w:type="dxa"/>
          </w:tcPr>
          <w:p w14:paraId="3B97BF23" w14:textId="2C71DB71" w:rsidR="0062543B" w:rsidRPr="008F502E" w:rsidRDefault="0062543B" w:rsidP="00F2402B">
            <w:pPr>
              <w:pStyle w:val="spTable"/>
            </w:pPr>
            <w:r>
              <w:t>100</w:t>
            </w:r>
          </w:p>
        </w:tc>
      </w:tr>
      <w:tr w:rsidR="0062543B" w:rsidRPr="008F502E" w14:paraId="638EDFB1" w14:textId="77777777" w:rsidTr="00F2402B">
        <w:tc>
          <w:tcPr>
            <w:tcW w:w="2337" w:type="dxa"/>
          </w:tcPr>
          <w:p w14:paraId="6D4B54A3" w14:textId="6ECAD4DC" w:rsidR="0062543B" w:rsidRPr="008F502E" w:rsidRDefault="0062543B" w:rsidP="00F2402B">
            <w:pPr>
              <w:pStyle w:val="spTable"/>
            </w:pPr>
            <w:r>
              <w:t>No. 40</w:t>
            </w:r>
          </w:p>
        </w:tc>
        <w:tc>
          <w:tcPr>
            <w:tcW w:w="2337" w:type="dxa"/>
          </w:tcPr>
          <w:p w14:paraId="7DFAD218" w14:textId="1329FC2B" w:rsidR="0062543B" w:rsidRPr="008F502E" w:rsidRDefault="0062543B" w:rsidP="00F2402B">
            <w:pPr>
              <w:pStyle w:val="spTable"/>
            </w:pPr>
            <w:r>
              <w:t>0 - 60</w:t>
            </w:r>
          </w:p>
        </w:tc>
      </w:tr>
      <w:tr w:rsidR="0062543B" w:rsidRPr="008F502E" w14:paraId="60E69ADA" w14:textId="77777777" w:rsidTr="00F2402B">
        <w:tc>
          <w:tcPr>
            <w:tcW w:w="2337" w:type="dxa"/>
          </w:tcPr>
          <w:p w14:paraId="0DE9D694" w14:textId="4FD0376C" w:rsidR="0062543B" w:rsidRDefault="0062543B" w:rsidP="00F2402B">
            <w:pPr>
              <w:pStyle w:val="spTable"/>
            </w:pPr>
            <w:r>
              <w:t>No. 200</w:t>
            </w:r>
          </w:p>
        </w:tc>
        <w:tc>
          <w:tcPr>
            <w:tcW w:w="2337" w:type="dxa"/>
          </w:tcPr>
          <w:p w14:paraId="5ED9B44B" w14:textId="0D6FC1E8" w:rsidR="0062543B" w:rsidRDefault="0062543B" w:rsidP="00F2402B">
            <w:pPr>
              <w:pStyle w:val="spTable"/>
            </w:pPr>
            <w:r>
              <w:t>0 - 15</w:t>
            </w:r>
          </w:p>
        </w:tc>
      </w:tr>
    </w:tbl>
    <w:p w14:paraId="546926E8" w14:textId="77777777" w:rsidR="0062543B" w:rsidRPr="0062543B" w:rsidRDefault="0062543B" w:rsidP="0062543B">
      <w:pPr>
        <w:rPr>
          <w:rFonts w:eastAsia="Calibri" w:cs="Arial"/>
        </w:rPr>
      </w:pPr>
      <w:r w:rsidRPr="0062543B">
        <w:rPr>
          <w:rFonts w:eastAsia="Calibri" w:cs="Arial"/>
        </w:rPr>
        <w:t xml:space="preserve">The material shall have a liquid limit not greater than 25, as per AASHTO T89, and a plasticity index not greater than 6, as per AASHTO T90. Provide the percent by weight, passing the #4 sieve. </w:t>
      </w:r>
    </w:p>
    <w:p w14:paraId="61067B8E" w14:textId="52B0414E" w:rsidR="0062543B" w:rsidRPr="0062543B" w:rsidRDefault="0062543B" w:rsidP="0062543B">
      <w:pPr>
        <w:rPr>
          <w:rFonts w:eastAsia="Calibri" w:cs="Arial"/>
        </w:rPr>
      </w:pPr>
      <w:r w:rsidRPr="0062543B">
        <w:rPr>
          <w:rFonts w:eastAsia="Calibri" w:cs="Arial"/>
        </w:rPr>
        <w:t>In addition, backfill material shall meet the following requirements</w:t>
      </w:r>
      <w:r>
        <w:rPr>
          <w:rFonts w:eastAsia="Calibri" w:cs="Arial"/>
        </w:rPr>
        <w:t>:</w:t>
      </w:r>
    </w:p>
    <w:tbl>
      <w:tblPr>
        <w:tblStyle w:val="TableGrid"/>
        <w:tblW w:w="0" w:type="auto"/>
        <w:tblLook w:val="04A0" w:firstRow="1" w:lastRow="0" w:firstColumn="1" w:lastColumn="0" w:noHBand="0" w:noVBand="1"/>
      </w:tblPr>
      <w:tblGrid>
        <w:gridCol w:w="2337"/>
        <w:gridCol w:w="2337"/>
        <w:gridCol w:w="2338"/>
        <w:gridCol w:w="2338"/>
      </w:tblGrid>
      <w:tr w:rsidR="0062543B" w:rsidRPr="008F502E" w14:paraId="67BFB170" w14:textId="77777777" w:rsidTr="0062543B">
        <w:tc>
          <w:tcPr>
            <w:tcW w:w="2337" w:type="dxa"/>
            <w:vMerge w:val="restart"/>
            <w:vAlign w:val="bottom"/>
          </w:tcPr>
          <w:p w14:paraId="34D66876" w14:textId="3D497B9E" w:rsidR="0062543B" w:rsidRPr="003D3B59" w:rsidRDefault="0062543B" w:rsidP="0062543B">
            <w:pPr>
              <w:pStyle w:val="spTable"/>
              <w:rPr>
                <w:b/>
              </w:rPr>
            </w:pPr>
            <w:r>
              <w:rPr>
                <w:b/>
              </w:rPr>
              <w:t>Test</w:t>
            </w:r>
          </w:p>
        </w:tc>
        <w:tc>
          <w:tcPr>
            <w:tcW w:w="2337" w:type="dxa"/>
            <w:vMerge w:val="restart"/>
            <w:vAlign w:val="bottom"/>
          </w:tcPr>
          <w:p w14:paraId="207248B1" w14:textId="4581FBEC" w:rsidR="0062543B" w:rsidRPr="003D3B59" w:rsidRDefault="0062543B" w:rsidP="0062543B">
            <w:pPr>
              <w:pStyle w:val="spTable"/>
              <w:rPr>
                <w:b/>
              </w:rPr>
            </w:pPr>
            <w:r>
              <w:rPr>
                <w:b/>
              </w:rPr>
              <w:t>Method</w:t>
            </w:r>
          </w:p>
        </w:tc>
        <w:tc>
          <w:tcPr>
            <w:tcW w:w="4676" w:type="dxa"/>
            <w:gridSpan w:val="2"/>
          </w:tcPr>
          <w:p w14:paraId="5DC849AF" w14:textId="7E52366A" w:rsidR="0062543B" w:rsidRPr="003D3B59" w:rsidRDefault="0062543B" w:rsidP="00F2402B">
            <w:pPr>
              <w:pStyle w:val="spTable"/>
              <w:rPr>
                <w:b/>
              </w:rPr>
            </w:pPr>
            <w:r>
              <w:rPr>
                <w:b/>
              </w:rPr>
              <w:t>Value</w:t>
            </w:r>
          </w:p>
        </w:tc>
      </w:tr>
      <w:tr w:rsidR="0062543B" w:rsidRPr="008F502E" w14:paraId="152131F7" w14:textId="77777777" w:rsidTr="00F2402B">
        <w:tc>
          <w:tcPr>
            <w:tcW w:w="2337" w:type="dxa"/>
            <w:vMerge/>
          </w:tcPr>
          <w:p w14:paraId="400700FC" w14:textId="3E9D3950" w:rsidR="0062543B" w:rsidRPr="008F502E" w:rsidRDefault="0062543B" w:rsidP="00F2402B">
            <w:pPr>
              <w:pStyle w:val="spTable"/>
            </w:pPr>
          </w:p>
        </w:tc>
        <w:tc>
          <w:tcPr>
            <w:tcW w:w="2337" w:type="dxa"/>
            <w:vMerge/>
          </w:tcPr>
          <w:p w14:paraId="67BDA194" w14:textId="0AEAC84E" w:rsidR="0062543B" w:rsidRPr="008F502E" w:rsidRDefault="0062543B" w:rsidP="00F2402B">
            <w:pPr>
              <w:pStyle w:val="spTable"/>
            </w:pPr>
          </w:p>
        </w:tc>
        <w:tc>
          <w:tcPr>
            <w:tcW w:w="2338" w:type="dxa"/>
          </w:tcPr>
          <w:p w14:paraId="70ECA964" w14:textId="1C1E5BC2" w:rsidR="0062543B" w:rsidRPr="0062543B" w:rsidRDefault="0062543B" w:rsidP="00F2402B">
            <w:pPr>
              <w:pStyle w:val="spTable"/>
              <w:rPr>
                <w:b/>
                <w:bCs/>
              </w:rPr>
            </w:pPr>
            <w:r>
              <w:rPr>
                <w:b/>
                <w:bCs/>
              </w:rPr>
              <w:t>(Galvanized)</w:t>
            </w:r>
          </w:p>
        </w:tc>
        <w:tc>
          <w:tcPr>
            <w:tcW w:w="2338" w:type="dxa"/>
          </w:tcPr>
          <w:p w14:paraId="422B607B" w14:textId="50D78CB5" w:rsidR="0062543B" w:rsidRPr="0062543B" w:rsidRDefault="0062543B" w:rsidP="00F2402B">
            <w:pPr>
              <w:pStyle w:val="spTable"/>
              <w:rPr>
                <w:b/>
                <w:bCs/>
              </w:rPr>
            </w:pPr>
            <w:r>
              <w:rPr>
                <w:b/>
                <w:bCs/>
              </w:rPr>
              <w:t>(Aluminized Type 2)</w:t>
            </w:r>
          </w:p>
        </w:tc>
      </w:tr>
      <w:tr w:rsidR="0062543B" w:rsidRPr="008F502E" w14:paraId="7A39CF58" w14:textId="77777777" w:rsidTr="00F2402B">
        <w:tc>
          <w:tcPr>
            <w:tcW w:w="2337" w:type="dxa"/>
          </w:tcPr>
          <w:p w14:paraId="35869E0F" w14:textId="023D6CE2" w:rsidR="0062543B" w:rsidRPr="008F502E" w:rsidRDefault="0062543B" w:rsidP="00F2402B">
            <w:pPr>
              <w:pStyle w:val="spTable"/>
            </w:pPr>
            <w:r>
              <w:t>pH</w:t>
            </w:r>
          </w:p>
        </w:tc>
        <w:tc>
          <w:tcPr>
            <w:tcW w:w="2337" w:type="dxa"/>
          </w:tcPr>
          <w:p w14:paraId="086A6A50" w14:textId="411EF08A" w:rsidR="0062543B" w:rsidRPr="008F502E" w:rsidRDefault="0062543B" w:rsidP="00F2402B">
            <w:pPr>
              <w:pStyle w:val="spTable"/>
            </w:pPr>
            <w:r>
              <w:t>AASHTO T-289</w:t>
            </w:r>
          </w:p>
        </w:tc>
        <w:tc>
          <w:tcPr>
            <w:tcW w:w="2338" w:type="dxa"/>
          </w:tcPr>
          <w:p w14:paraId="757D2FC3" w14:textId="1AF997B9" w:rsidR="0062543B" w:rsidRPr="008F502E" w:rsidRDefault="0062543B" w:rsidP="00F2402B">
            <w:pPr>
              <w:pStyle w:val="spTable"/>
            </w:pPr>
            <w:r>
              <w:t>5.0 - 10.0</w:t>
            </w:r>
          </w:p>
        </w:tc>
        <w:tc>
          <w:tcPr>
            <w:tcW w:w="2338" w:type="dxa"/>
          </w:tcPr>
          <w:p w14:paraId="5E9E4E97" w14:textId="30E2C7E0" w:rsidR="0062543B" w:rsidRPr="008F502E" w:rsidRDefault="0062543B" w:rsidP="00F2402B">
            <w:pPr>
              <w:pStyle w:val="spTable"/>
            </w:pPr>
            <w:r>
              <w:t>5.0 - 9.0</w:t>
            </w:r>
          </w:p>
        </w:tc>
      </w:tr>
      <w:tr w:rsidR="0062543B" w:rsidRPr="008F502E" w14:paraId="76E8525D" w14:textId="77777777" w:rsidTr="00914189">
        <w:tc>
          <w:tcPr>
            <w:tcW w:w="2337" w:type="dxa"/>
          </w:tcPr>
          <w:p w14:paraId="4FB45AEB" w14:textId="286F92B0" w:rsidR="0062543B" w:rsidRPr="008F502E" w:rsidRDefault="0062543B" w:rsidP="00F2402B">
            <w:pPr>
              <w:pStyle w:val="spTable"/>
            </w:pPr>
            <w:r>
              <w:t>Sulfate Content</w:t>
            </w:r>
          </w:p>
        </w:tc>
        <w:tc>
          <w:tcPr>
            <w:tcW w:w="2337" w:type="dxa"/>
          </w:tcPr>
          <w:p w14:paraId="5510CB9A" w14:textId="6D4A5310" w:rsidR="0062543B" w:rsidRPr="008F502E" w:rsidRDefault="0062543B" w:rsidP="00F2402B">
            <w:pPr>
              <w:pStyle w:val="spTable"/>
            </w:pPr>
            <w:r>
              <w:t>AASHTO T-290</w:t>
            </w:r>
          </w:p>
        </w:tc>
        <w:tc>
          <w:tcPr>
            <w:tcW w:w="4676" w:type="dxa"/>
            <w:gridSpan w:val="2"/>
          </w:tcPr>
          <w:p w14:paraId="72350406" w14:textId="69D920B6" w:rsidR="0062543B" w:rsidRPr="008F502E" w:rsidRDefault="0062543B" w:rsidP="00F2402B">
            <w:pPr>
              <w:pStyle w:val="spTable"/>
            </w:pPr>
            <w:r>
              <w:t>200 ppm max.</w:t>
            </w:r>
          </w:p>
        </w:tc>
      </w:tr>
      <w:tr w:rsidR="0062543B" w:rsidRPr="008F502E" w14:paraId="3814E917" w14:textId="77777777" w:rsidTr="00914189">
        <w:tc>
          <w:tcPr>
            <w:tcW w:w="2337" w:type="dxa"/>
          </w:tcPr>
          <w:p w14:paraId="4E93BAE8" w14:textId="798C396F" w:rsidR="0062543B" w:rsidRDefault="0062543B" w:rsidP="00F2402B">
            <w:pPr>
              <w:pStyle w:val="spTable"/>
            </w:pPr>
            <w:r>
              <w:t>Chloride Content</w:t>
            </w:r>
          </w:p>
        </w:tc>
        <w:tc>
          <w:tcPr>
            <w:tcW w:w="2337" w:type="dxa"/>
          </w:tcPr>
          <w:p w14:paraId="14762F86" w14:textId="04B55311" w:rsidR="0062543B" w:rsidRDefault="0062543B" w:rsidP="00F2402B">
            <w:pPr>
              <w:pStyle w:val="spTable"/>
            </w:pPr>
            <w:r>
              <w:t>AASHTO T-291</w:t>
            </w:r>
          </w:p>
        </w:tc>
        <w:tc>
          <w:tcPr>
            <w:tcW w:w="4676" w:type="dxa"/>
            <w:gridSpan w:val="2"/>
          </w:tcPr>
          <w:p w14:paraId="1509E7F9" w14:textId="589F0D6C" w:rsidR="0062543B" w:rsidRDefault="0062543B" w:rsidP="00F2402B">
            <w:pPr>
              <w:pStyle w:val="spTable"/>
            </w:pPr>
            <w:r>
              <w:t>100 ppm max.</w:t>
            </w:r>
          </w:p>
        </w:tc>
      </w:tr>
      <w:tr w:rsidR="0062543B" w:rsidRPr="008F502E" w14:paraId="376341E7" w14:textId="77777777" w:rsidTr="00AC1C63">
        <w:tc>
          <w:tcPr>
            <w:tcW w:w="2337" w:type="dxa"/>
          </w:tcPr>
          <w:p w14:paraId="0DEBEA0A" w14:textId="0F8BCCF7" w:rsidR="0062543B" w:rsidRDefault="0062543B" w:rsidP="00F2402B">
            <w:pPr>
              <w:pStyle w:val="spTable"/>
            </w:pPr>
            <w:r>
              <w:t>Electrical Resistivity</w:t>
            </w:r>
          </w:p>
        </w:tc>
        <w:tc>
          <w:tcPr>
            <w:tcW w:w="2337" w:type="dxa"/>
          </w:tcPr>
          <w:p w14:paraId="2E7E49A4" w14:textId="157120F6" w:rsidR="0062543B" w:rsidRDefault="0062543B" w:rsidP="00F2402B">
            <w:pPr>
              <w:pStyle w:val="spTable"/>
            </w:pPr>
            <w:r>
              <w:t>AASHTO T-288</w:t>
            </w:r>
          </w:p>
        </w:tc>
        <w:tc>
          <w:tcPr>
            <w:tcW w:w="2338" w:type="dxa"/>
          </w:tcPr>
          <w:p w14:paraId="35924646" w14:textId="518E01D8" w:rsidR="0062543B" w:rsidRDefault="0062543B" w:rsidP="00F2402B">
            <w:pPr>
              <w:pStyle w:val="spTable"/>
            </w:pPr>
            <w:r>
              <w:t>3000 ohm-cm min.</w:t>
            </w:r>
          </w:p>
        </w:tc>
        <w:tc>
          <w:tcPr>
            <w:tcW w:w="2338" w:type="dxa"/>
          </w:tcPr>
          <w:p w14:paraId="3DDBE169" w14:textId="03DE9FA0" w:rsidR="0062543B" w:rsidRDefault="0062543B" w:rsidP="00F2402B">
            <w:pPr>
              <w:pStyle w:val="spTable"/>
            </w:pPr>
            <w:r>
              <w:t>1500 ohm-cm min.</w:t>
            </w:r>
          </w:p>
        </w:tc>
      </w:tr>
      <w:tr w:rsidR="0062543B" w:rsidRPr="008F502E" w14:paraId="125C9522" w14:textId="77777777" w:rsidTr="00914189">
        <w:tc>
          <w:tcPr>
            <w:tcW w:w="2337" w:type="dxa"/>
          </w:tcPr>
          <w:p w14:paraId="6511822B" w14:textId="5FB2756D" w:rsidR="0062543B" w:rsidRDefault="0062543B" w:rsidP="00F2402B">
            <w:pPr>
              <w:pStyle w:val="spTable"/>
            </w:pPr>
            <w:r>
              <w:t>Organic Content</w:t>
            </w:r>
          </w:p>
        </w:tc>
        <w:tc>
          <w:tcPr>
            <w:tcW w:w="2337" w:type="dxa"/>
          </w:tcPr>
          <w:p w14:paraId="6BBBAB85" w14:textId="2528AE10" w:rsidR="0062543B" w:rsidRDefault="0062543B" w:rsidP="00F2402B">
            <w:pPr>
              <w:pStyle w:val="spTable"/>
            </w:pPr>
            <w:r>
              <w:t>AASHTO T-267</w:t>
            </w:r>
          </w:p>
        </w:tc>
        <w:tc>
          <w:tcPr>
            <w:tcW w:w="4676" w:type="dxa"/>
            <w:gridSpan w:val="2"/>
          </w:tcPr>
          <w:p w14:paraId="19B00FD8" w14:textId="70EC37EA" w:rsidR="0062543B" w:rsidRDefault="0062543B" w:rsidP="00F2402B">
            <w:pPr>
              <w:pStyle w:val="spTable"/>
            </w:pPr>
            <w:r>
              <w:t>1.0% max.</w:t>
            </w:r>
          </w:p>
        </w:tc>
      </w:tr>
      <w:tr w:rsidR="0062543B" w:rsidRPr="008F502E" w14:paraId="78C7AAA5" w14:textId="77777777" w:rsidTr="0062543B">
        <w:tc>
          <w:tcPr>
            <w:tcW w:w="2337" w:type="dxa"/>
            <w:vAlign w:val="center"/>
          </w:tcPr>
          <w:p w14:paraId="364FEDF9" w14:textId="7E45CC1B" w:rsidR="0062543B" w:rsidRDefault="0062543B" w:rsidP="0062543B">
            <w:pPr>
              <w:pStyle w:val="spTable"/>
            </w:pPr>
            <w:r>
              <w:t>Angle of Internal Friction</w:t>
            </w:r>
          </w:p>
        </w:tc>
        <w:tc>
          <w:tcPr>
            <w:tcW w:w="2337" w:type="dxa"/>
            <w:vAlign w:val="center"/>
          </w:tcPr>
          <w:p w14:paraId="336934D6" w14:textId="1A93D21D" w:rsidR="0062543B" w:rsidRDefault="0062543B" w:rsidP="0062543B">
            <w:pPr>
              <w:pStyle w:val="spTable"/>
            </w:pPr>
            <w:r>
              <w:t>AASHTO T-236</w:t>
            </w:r>
            <w:r w:rsidRPr="0062543B">
              <w:rPr>
                <w:vertAlign w:val="superscript"/>
              </w:rPr>
              <w:t>[1]</w:t>
            </w:r>
          </w:p>
        </w:tc>
        <w:tc>
          <w:tcPr>
            <w:tcW w:w="4676" w:type="dxa"/>
            <w:gridSpan w:val="2"/>
          </w:tcPr>
          <w:p w14:paraId="661CC53D" w14:textId="6A8B562A" w:rsidR="0062543B" w:rsidRDefault="0062543B" w:rsidP="00F2402B">
            <w:pPr>
              <w:pStyle w:val="spTable"/>
            </w:pPr>
            <w:r>
              <w:t>30 degrees min. (at 95.0% of maximum density and optimum moisture, per AASHTO T99, or as modified by C.2.)</w:t>
            </w:r>
          </w:p>
        </w:tc>
      </w:tr>
    </w:tbl>
    <w:p w14:paraId="1C529B6D" w14:textId="77777777" w:rsidR="00D11984" w:rsidRPr="00D11984" w:rsidRDefault="00D11984" w:rsidP="00D11984">
      <w:pPr>
        <w:rPr>
          <w:rFonts w:eastAsia="Calibri" w:cs="Arial"/>
          <w:sz w:val="16"/>
          <w:szCs w:val="16"/>
        </w:rPr>
      </w:pPr>
      <w:r w:rsidRPr="00D11984">
        <w:rPr>
          <w:rFonts w:eastAsia="Calibri" w:cs="Arial"/>
          <w:sz w:val="16"/>
          <w:szCs w:val="16"/>
        </w:rPr>
        <w:t xml:space="preserve">[1] If the amount of P-4 material is greater than 60%, use AASHTO 236 with a standard-size shear box. Test results of this method may allow the use of larger angles of internal friction, up to the maximum allowed by this specification. </w:t>
      </w:r>
    </w:p>
    <w:p w14:paraId="28215C92" w14:textId="77777777" w:rsidR="00D11984" w:rsidRPr="00D11984" w:rsidRDefault="00D11984" w:rsidP="00D11984">
      <w:pPr>
        <w:rPr>
          <w:rFonts w:eastAsia="Calibri" w:cs="Arial"/>
          <w:sz w:val="16"/>
          <w:szCs w:val="16"/>
        </w:rPr>
      </w:pPr>
      <w:r w:rsidRPr="00D11984">
        <w:rPr>
          <w:rFonts w:eastAsia="Calibri" w:cs="Arial"/>
          <w:sz w:val="16"/>
          <w:szCs w:val="16"/>
        </w:rPr>
        <w:t xml:space="preserve">If the amount of P-4 material is less than or equal to 60%, two options are available to determine the angle of internal friction. The first method is to perform a fractured faces count, per ASTM D5821, on the R-4 material. If more than 90% of the material is fractured on one face and more than 50% is fractured on two faces, the material meets the specifications, and the angle of internal friction can be assumed to be 30 degrees. The second method allows testing all P-1” material, as per AASHTO T-236, with a large shear box. Test results of this second method may allow the use of larger angles of internal friction, up to the maximum allowed by this specification. </w:t>
      </w:r>
    </w:p>
    <w:p w14:paraId="77380BBE" w14:textId="77777777" w:rsidR="00A25905" w:rsidRDefault="00A25905" w:rsidP="00A25905">
      <w:pPr>
        <w:keepNext/>
        <w:keepLines/>
        <w:rPr>
          <w:rFonts w:eastAsia="Calibri" w:cs="Arial"/>
        </w:rPr>
      </w:pPr>
      <w:r w:rsidRPr="00A25905">
        <w:rPr>
          <w:rFonts w:eastAsia="Calibri" w:cs="Arial"/>
        </w:rPr>
        <w:lastRenderedPageBreak/>
        <w:t xml:space="preserve">Prior to placement of the backfill, obtain and furnish to the engineer a certified report of test results that the backfill material complies with the requirements of this specification. Specify the method used to determine the angle of internal friction. This certified report of test shall be less than 6 months old. Tests will be performed by a certified independent laboratory. In addition, when backfill characteristics and/or sources change, provide a certified report of tests for the new backfill material. Additional certified </w:t>
      </w:r>
      <w:proofErr w:type="gramStart"/>
      <w:r w:rsidRPr="00A25905">
        <w:rPr>
          <w:rFonts w:eastAsia="Calibri" w:cs="Arial"/>
        </w:rPr>
        <w:t>report</w:t>
      </w:r>
      <w:proofErr w:type="gramEnd"/>
      <w:r w:rsidRPr="00A25905">
        <w:rPr>
          <w:rFonts w:eastAsia="Calibri" w:cs="Arial"/>
        </w:rPr>
        <w:t xml:space="preserve"> of tests </w:t>
      </w:r>
      <w:proofErr w:type="gramStart"/>
      <w:r w:rsidRPr="00A25905">
        <w:rPr>
          <w:rFonts w:eastAsia="Calibri" w:cs="Arial"/>
        </w:rPr>
        <w:t>are</w:t>
      </w:r>
      <w:proofErr w:type="gramEnd"/>
      <w:r w:rsidRPr="00A25905">
        <w:rPr>
          <w:rFonts w:eastAsia="Calibri" w:cs="Arial"/>
        </w:rPr>
        <w:t xml:space="preserve"> also required. These additional backfill tests may be completed at the time of material production or material placement, with concurrence of the engineer. If this additional testing is completed at the time of material production, complete testing for every 2000 cubic yards of backfill or portion thereof. If this additional testing is completed at the time of material placement, complete testing for every 2000 cubic yards of backfill, or portion thereof, used per wall. For the additional required testing for every 2000 cubic yards of backfill placement, if the characteristic of the backfill and/or the source has not changed then Angle of Internal Friction tests are not included in the additional required testing. All certified reports of test results shall be less than 6 months old and performed by a certified independent laboratory. </w:t>
      </w:r>
    </w:p>
    <w:p w14:paraId="4A574584" w14:textId="2BF03A77" w:rsidR="00A25905" w:rsidRDefault="00A25905" w:rsidP="00A25905">
      <w:pPr>
        <w:keepNext/>
        <w:keepLines/>
        <w:rPr>
          <w:rFonts w:eastAsia="Calibri" w:cs="Arial"/>
          <w:b/>
          <w:bCs/>
        </w:rPr>
      </w:pPr>
      <w:proofErr w:type="gramStart"/>
      <w:r>
        <w:rPr>
          <w:rFonts w:eastAsia="Calibri" w:cs="Arial"/>
          <w:b/>
          <w:bCs/>
        </w:rPr>
        <w:t xml:space="preserve">B.3.2 </w:t>
      </w:r>
      <w:r w:rsidR="00E43710">
        <w:rPr>
          <w:rFonts w:eastAsia="Calibri" w:cs="Arial"/>
          <w:b/>
          <w:bCs/>
        </w:rPr>
        <w:t xml:space="preserve"> </w:t>
      </w:r>
      <w:r>
        <w:rPr>
          <w:rFonts w:eastAsia="Calibri" w:cs="Arial"/>
          <w:b/>
          <w:bCs/>
        </w:rPr>
        <w:t>Soil</w:t>
      </w:r>
      <w:proofErr w:type="gramEnd"/>
      <w:r>
        <w:rPr>
          <w:rFonts w:eastAsia="Calibri" w:cs="Arial"/>
          <w:b/>
          <w:bCs/>
        </w:rPr>
        <w:t xml:space="preserve"> Reinforcement</w:t>
      </w:r>
    </w:p>
    <w:p w14:paraId="6F374EE0" w14:textId="0D3DE919" w:rsidR="00A25905" w:rsidRPr="00BB0100" w:rsidRDefault="00BB0100" w:rsidP="00A25905">
      <w:pPr>
        <w:keepNext/>
        <w:keepLines/>
        <w:rPr>
          <w:rFonts w:eastAsia="Calibri" w:cs="Arial"/>
        </w:rPr>
      </w:pPr>
      <w:r w:rsidRPr="00BB0100">
        <w:rPr>
          <w:rFonts w:eastAsia="Calibri" w:cs="Arial"/>
        </w:rPr>
        <w:t xml:space="preserve">All steel portions of the abutment anchorage system exposed to earth shall be galvanized. All soil reinforcement and attachment devices shall be carefully inspected to ensure they are true size and free from defects that may impair the strength and durability. Soil reinforcement shall be galvanized or aluminized Type 2. Galvanized soil reinforcement shall be according to AASHTO M 111 or ASTM A641. Aluminized soil reinforcement shall be according to ASTM A463 Aluminized Type 2-100, SS, Grade 50, Class 2. Design of galvanized soil reinforcement shall be according to Section 11.10.6.4.2 of the current AASHTO LRFD Specifications. The design life of steel soil reinforcements shall comply with AASHTO LRFD. Aluminized soil reinforcement shall be </w:t>
      </w:r>
      <w:proofErr w:type="gramStart"/>
      <w:r w:rsidRPr="00BB0100">
        <w:rPr>
          <w:rFonts w:eastAsia="Calibri" w:cs="Arial"/>
        </w:rPr>
        <w:t>limited</w:t>
      </w:r>
      <w:proofErr w:type="gramEnd"/>
      <w:r w:rsidRPr="00BB0100">
        <w:rPr>
          <w:rFonts w:eastAsia="Calibri" w:cs="Arial"/>
        </w:rPr>
        <w:t xml:space="preserve"> 16 years of steel protection. Aluminized steel shall only be used on soil reinforcement elements and shall not be used on abutment connections or any other steel portion of the abutment anchorage system. Steel soil reinforcement shall be prefabricated into single or multiple elements before galvanizing.</w:t>
      </w:r>
    </w:p>
    <w:p w14:paraId="5E0C847E" w14:textId="77777777" w:rsidR="0058694A" w:rsidRDefault="0058694A" w:rsidP="00AF79FF">
      <w:pPr>
        <w:pStyle w:val="spParagraph"/>
        <w:rPr>
          <w:rStyle w:val="spHeading"/>
        </w:rPr>
      </w:pPr>
      <w:proofErr w:type="gramStart"/>
      <w:r w:rsidRPr="00A555F9">
        <w:rPr>
          <w:rStyle w:val="spHeading"/>
        </w:rPr>
        <w:t>C  Construction</w:t>
      </w:r>
      <w:proofErr w:type="gramEnd"/>
    </w:p>
    <w:p w14:paraId="1F5AE8C1" w14:textId="175E2C27" w:rsidR="00E43710" w:rsidRDefault="00E43710" w:rsidP="00AF79FF">
      <w:pPr>
        <w:pStyle w:val="spParagraph"/>
        <w:rPr>
          <w:rStyle w:val="spHeading"/>
        </w:rPr>
      </w:pPr>
      <w:proofErr w:type="gramStart"/>
      <w:r>
        <w:rPr>
          <w:rStyle w:val="spHeading"/>
        </w:rPr>
        <w:t>C.1  Excavation</w:t>
      </w:r>
      <w:proofErr w:type="gramEnd"/>
      <w:r>
        <w:rPr>
          <w:rStyle w:val="spHeading"/>
        </w:rPr>
        <w:t xml:space="preserve"> and Backfill</w:t>
      </w:r>
    </w:p>
    <w:p w14:paraId="600248CF" w14:textId="77777777" w:rsidR="00E43710" w:rsidRPr="00E43710" w:rsidRDefault="00E43710" w:rsidP="00E43710">
      <w:pPr>
        <w:rPr>
          <w:rFonts w:eastAsia="Calibri" w:cs="Arial"/>
        </w:rPr>
      </w:pPr>
      <w:r w:rsidRPr="00E43710">
        <w:rPr>
          <w:rFonts w:eastAsia="Calibri" w:cs="Arial"/>
        </w:rPr>
        <w:t xml:space="preserve">Excavation and preparation of the foundation for the abutment anchorage shall be according to standard spec 206. The volume of excavation covered is limited to the width of the reinforced mass and to the elevation of the bottom of the abutment unless shown or noted otherwise on the plan. At the end of each working day, provide good temporary drainage such that the backfill shall not become contaminated with run-off soil or water if it should rain. Do not stockpile or store materials or large equipment within 10 feet of the back of the abutment. </w:t>
      </w:r>
    </w:p>
    <w:p w14:paraId="52B0052A" w14:textId="77777777" w:rsidR="00E43710" w:rsidRPr="00E43710" w:rsidRDefault="00E43710" w:rsidP="00E43710">
      <w:pPr>
        <w:rPr>
          <w:rFonts w:eastAsia="Calibri" w:cs="Arial"/>
        </w:rPr>
      </w:pPr>
      <w:proofErr w:type="gramStart"/>
      <w:r w:rsidRPr="00E43710">
        <w:rPr>
          <w:rFonts w:eastAsia="Calibri" w:cs="Arial"/>
        </w:rPr>
        <w:t>Place</w:t>
      </w:r>
      <w:proofErr w:type="gramEnd"/>
      <w:r w:rsidRPr="00E43710">
        <w:rPr>
          <w:rFonts w:eastAsia="Calibri" w:cs="Arial"/>
        </w:rPr>
        <w:t xml:space="preserve"> backfill materials in the areas as indicated on the plans and as detailed in this specification. Backfill lifts shall be no more than 8-inches in depth, after compaction. </w:t>
      </w:r>
    </w:p>
    <w:p w14:paraId="45C2FF8A" w14:textId="77777777" w:rsidR="00E43710" w:rsidRPr="00E43710" w:rsidRDefault="00E43710" w:rsidP="00E43710">
      <w:pPr>
        <w:rPr>
          <w:rFonts w:eastAsia="Calibri" w:cs="Arial"/>
        </w:rPr>
      </w:pPr>
      <w:r w:rsidRPr="00E43710">
        <w:rPr>
          <w:rFonts w:eastAsia="Calibri" w:cs="Arial"/>
        </w:rPr>
        <w:t xml:space="preserve">Conduct backfilling operations in such a manner as to prevent damage or misalignment of the abutment, soil reinforcement, or other wall components. At no expense to the department, correct any such damage or misalignment as directed by the engineer. A field representative of the wall supplier shall be available during abutment anchorage construction to provide technical assistance to the contractor and the engineer. </w:t>
      </w:r>
    </w:p>
    <w:p w14:paraId="64D21E75" w14:textId="77777777" w:rsidR="00E43710" w:rsidRPr="00E43710" w:rsidRDefault="00E43710" w:rsidP="00E43710">
      <w:pPr>
        <w:rPr>
          <w:rFonts w:eastAsia="Calibri" w:cs="Arial"/>
        </w:rPr>
      </w:pPr>
      <w:r w:rsidRPr="00E43710">
        <w:rPr>
          <w:rFonts w:eastAsia="Calibri" w:cs="Arial"/>
        </w:rPr>
        <w:t xml:space="preserve">Place and compact the MSE backfill to the level of the next higher layer of MSE reinforcement before placing the MSE reinforcement or connecting it to the abutment. Place and compact material beyond the reinforced soil zone to allow for proper compaction of material within the reinforced zone. The MSE reinforcement shall lay horizontally on top of the most recently placed and compacted layer of MSE backfill. </w:t>
      </w:r>
    </w:p>
    <w:p w14:paraId="6BE759B9" w14:textId="77777777" w:rsidR="00E43710" w:rsidRPr="00E43710" w:rsidRDefault="00E43710" w:rsidP="00E43710">
      <w:pPr>
        <w:rPr>
          <w:rFonts w:eastAsia="Calibri" w:cs="Arial"/>
        </w:rPr>
      </w:pPr>
      <w:r w:rsidRPr="00E43710">
        <w:rPr>
          <w:rFonts w:eastAsia="Calibri" w:cs="Arial"/>
        </w:rPr>
        <w:t xml:space="preserve">Do not operate tracked or wheeled equipment on the backfill within 3 feet from the back of the </w:t>
      </w:r>
      <w:proofErr w:type="gramStart"/>
      <w:r w:rsidRPr="00E43710">
        <w:rPr>
          <w:rFonts w:eastAsia="Calibri" w:cs="Arial"/>
        </w:rPr>
        <w:t>abutment</w:t>
      </w:r>
      <w:proofErr w:type="gramEnd"/>
      <w:r w:rsidRPr="00E43710">
        <w:rPr>
          <w:rFonts w:eastAsia="Calibri" w:cs="Arial"/>
        </w:rPr>
        <w:t xml:space="preserve">. The engineer may order the removal of any large or heavy equipment that may cause damage to the abutment. </w:t>
      </w:r>
    </w:p>
    <w:p w14:paraId="64B43954" w14:textId="3E2B3910" w:rsidR="00E43710" w:rsidRDefault="00E43710" w:rsidP="00AF79FF">
      <w:pPr>
        <w:pStyle w:val="spParagraph"/>
        <w:rPr>
          <w:rStyle w:val="spHeading"/>
        </w:rPr>
      </w:pPr>
      <w:proofErr w:type="gramStart"/>
      <w:r>
        <w:rPr>
          <w:rStyle w:val="spHeading"/>
        </w:rPr>
        <w:t>C.2  Compaction</w:t>
      </w:r>
      <w:proofErr w:type="gramEnd"/>
    </w:p>
    <w:p w14:paraId="753E7AF8" w14:textId="77777777" w:rsidR="00E43710" w:rsidRPr="00E43710" w:rsidRDefault="00E43710" w:rsidP="00E43710">
      <w:pPr>
        <w:rPr>
          <w:rFonts w:eastAsia="Calibri" w:cs="Arial"/>
        </w:rPr>
      </w:pPr>
      <w:r w:rsidRPr="00E43710">
        <w:rPr>
          <w:rFonts w:eastAsia="Calibri" w:cs="Arial"/>
        </w:rPr>
        <w:t xml:space="preserve">Compact all backfill behind the abutment as specified in standard spec 207.3.6. Compact the backfill to 95.0% of maximum dry density as determined by AASHTO T-99 (modified to compute densities to the nearest 0.1 </w:t>
      </w:r>
      <w:proofErr w:type="spellStart"/>
      <w:r w:rsidRPr="00E43710">
        <w:rPr>
          <w:rFonts w:eastAsia="Calibri" w:cs="Arial"/>
        </w:rPr>
        <w:t>pcf</w:t>
      </w:r>
      <w:proofErr w:type="spellEnd"/>
      <w:r w:rsidRPr="00E43710">
        <w:rPr>
          <w:rFonts w:eastAsia="Calibri" w:cs="Arial"/>
        </w:rPr>
        <w:t xml:space="preserve">). </w:t>
      </w:r>
    </w:p>
    <w:p w14:paraId="79006BCF" w14:textId="77777777" w:rsidR="00E43710" w:rsidRPr="00E43710" w:rsidRDefault="00E43710" w:rsidP="00E43710">
      <w:pPr>
        <w:keepNext/>
        <w:keepLines/>
        <w:rPr>
          <w:rFonts w:eastAsia="Calibri" w:cs="Arial"/>
        </w:rPr>
      </w:pPr>
      <w:r w:rsidRPr="00E43710">
        <w:rPr>
          <w:rFonts w:eastAsia="Calibri" w:cs="Arial"/>
        </w:rPr>
        <w:lastRenderedPageBreak/>
        <w:t xml:space="preserve">Ensure adequate moisture is present in the backfill during placement and compaction to prevent segregation and to help achieve compaction. </w:t>
      </w:r>
    </w:p>
    <w:p w14:paraId="2034DDCF" w14:textId="77777777" w:rsidR="00E43710" w:rsidRPr="00E43710" w:rsidRDefault="00E43710" w:rsidP="00E43710">
      <w:pPr>
        <w:keepNext/>
        <w:keepLines/>
        <w:rPr>
          <w:rFonts w:eastAsia="Calibri" w:cs="Arial"/>
        </w:rPr>
      </w:pPr>
      <w:r w:rsidRPr="00E43710">
        <w:rPr>
          <w:rFonts w:eastAsia="Calibri" w:cs="Arial"/>
        </w:rPr>
        <w:t xml:space="preserve">Compaction of backfill within 3 feet of the back face of the abutment should be accomplished using lightweight compaction devices. Use of heavy compaction equipment or vehicles should be avoided within 3 feet of the abutment. Do not use </w:t>
      </w:r>
      <w:proofErr w:type="gramStart"/>
      <w:r w:rsidRPr="00E43710">
        <w:rPr>
          <w:rFonts w:eastAsia="Calibri" w:cs="Arial"/>
        </w:rPr>
        <w:t>sheepsfoot</w:t>
      </w:r>
      <w:proofErr w:type="gramEnd"/>
      <w:r w:rsidRPr="00E43710">
        <w:rPr>
          <w:rFonts w:eastAsia="Calibri" w:cs="Arial"/>
        </w:rPr>
        <w:t xml:space="preserve"> or padfoot rollers within the reinforced soil zone. </w:t>
      </w:r>
    </w:p>
    <w:p w14:paraId="6FFADFC6" w14:textId="272E208C" w:rsidR="00E43710" w:rsidRDefault="00E43710" w:rsidP="00E43710">
      <w:pPr>
        <w:pStyle w:val="spParagraph"/>
        <w:rPr>
          <w:rFonts w:eastAsia="Calibri" w:cs="Arial"/>
          <w:szCs w:val="20"/>
        </w:rPr>
      </w:pPr>
      <w:r w:rsidRPr="00E43710">
        <w:rPr>
          <w:rFonts w:eastAsia="Calibri" w:cs="Arial"/>
          <w:szCs w:val="20"/>
        </w:rPr>
        <w:t>A minimum of 3 inches of backfill shall be placed over the MSE reinforcement prior to working above the reinforcement.</w:t>
      </w:r>
    </w:p>
    <w:p w14:paraId="3039DA07" w14:textId="1E6CA6F8" w:rsidR="00E43710" w:rsidRDefault="00E43710" w:rsidP="00E43710">
      <w:pPr>
        <w:pStyle w:val="spParagraph"/>
        <w:rPr>
          <w:rFonts w:eastAsia="Calibri" w:cs="Arial"/>
          <w:b/>
          <w:bCs/>
          <w:szCs w:val="20"/>
        </w:rPr>
      </w:pPr>
      <w:proofErr w:type="gramStart"/>
      <w:r>
        <w:rPr>
          <w:rFonts w:eastAsia="Calibri" w:cs="Arial"/>
          <w:b/>
          <w:bCs/>
          <w:szCs w:val="20"/>
        </w:rPr>
        <w:t>C.3  Abutment</w:t>
      </w:r>
      <w:proofErr w:type="gramEnd"/>
      <w:r>
        <w:rPr>
          <w:rFonts w:eastAsia="Calibri" w:cs="Arial"/>
          <w:b/>
          <w:bCs/>
          <w:szCs w:val="20"/>
        </w:rPr>
        <w:t xml:space="preserve"> Anchorage Components</w:t>
      </w:r>
    </w:p>
    <w:p w14:paraId="5BCCB974" w14:textId="6FAA5EF6" w:rsidR="00E43710" w:rsidRDefault="00E43710" w:rsidP="00E43710">
      <w:pPr>
        <w:pStyle w:val="spParagraph"/>
        <w:rPr>
          <w:rFonts w:eastAsia="Calibri" w:cs="Arial"/>
          <w:b/>
          <w:bCs/>
          <w:szCs w:val="20"/>
        </w:rPr>
      </w:pPr>
      <w:proofErr w:type="gramStart"/>
      <w:r>
        <w:rPr>
          <w:rFonts w:eastAsia="Calibri" w:cs="Arial"/>
          <w:b/>
          <w:bCs/>
          <w:szCs w:val="20"/>
        </w:rPr>
        <w:t>C.3.1  General</w:t>
      </w:r>
      <w:proofErr w:type="gramEnd"/>
    </w:p>
    <w:p w14:paraId="0BAD1931" w14:textId="77777777" w:rsidR="00E43710" w:rsidRPr="00E43710" w:rsidRDefault="00E43710" w:rsidP="00E43710">
      <w:pPr>
        <w:rPr>
          <w:rFonts w:eastAsia="Calibri" w:cs="Arial"/>
        </w:rPr>
      </w:pPr>
      <w:r w:rsidRPr="00E43710">
        <w:rPr>
          <w:rFonts w:eastAsia="Calibri" w:cs="Arial"/>
        </w:rPr>
        <w:t xml:space="preserve">Place and compact the MSE backfill to the level of the next higher layer of MSE reinforcement before placing the MSE reinforcement or connecting it to the abutment. </w:t>
      </w:r>
    </w:p>
    <w:p w14:paraId="754F76CA" w14:textId="0AAC363C" w:rsidR="00E43710" w:rsidRDefault="00E43710" w:rsidP="00E43710">
      <w:pPr>
        <w:pStyle w:val="spParagraph"/>
        <w:rPr>
          <w:rFonts w:eastAsia="Calibri" w:cs="Arial"/>
          <w:szCs w:val="20"/>
        </w:rPr>
      </w:pPr>
      <w:r w:rsidRPr="00E43710">
        <w:rPr>
          <w:rFonts w:eastAsia="Calibri" w:cs="Arial"/>
          <w:szCs w:val="20"/>
        </w:rPr>
        <w:t xml:space="preserve">The MSE </w:t>
      </w:r>
      <w:proofErr w:type="gramStart"/>
      <w:r w:rsidRPr="00E43710">
        <w:rPr>
          <w:rFonts w:eastAsia="Calibri" w:cs="Arial"/>
          <w:szCs w:val="20"/>
        </w:rPr>
        <w:t>reinforcement shall</w:t>
      </w:r>
      <w:proofErr w:type="gramEnd"/>
      <w:r w:rsidRPr="00E43710">
        <w:rPr>
          <w:rFonts w:eastAsia="Calibri" w:cs="Arial"/>
          <w:szCs w:val="20"/>
        </w:rPr>
        <w:t xml:space="preserve"> lay horizontally on the top of the most recently placed and compacted layer of MSE backfill. Bending of MSE reinforcement that result in a kink in the reinforcement shall not be allowed. If skewing of the reinforcement is required due to obstructions in the reinforced fill, the maximum skew angle shall not exceed 15 degrees from the normal position unless a greater angle is shown on the plans. The adequacy of the skewed reinforcement in such a case shall be addressed by supporting calculations.</w:t>
      </w:r>
    </w:p>
    <w:p w14:paraId="695D8BAF" w14:textId="01312785" w:rsidR="00E43710" w:rsidRDefault="00E43710" w:rsidP="00E43710">
      <w:pPr>
        <w:pStyle w:val="spParagraph"/>
        <w:rPr>
          <w:rFonts w:eastAsia="Calibri" w:cs="Arial"/>
          <w:b/>
          <w:bCs/>
          <w:szCs w:val="20"/>
        </w:rPr>
      </w:pPr>
      <w:proofErr w:type="gramStart"/>
      <w:r>
        <w:rPr>
          <w:rFonts w:eastAsia="Calibri" w:cs="Arial"/>
          <w:b/>
          <w:bCs/>
          <w:szCs w:val="20"/>
        </w:rPr>
        <w:t>C.3.2  Steel</w:t>
      </w:r>
      <w:proofErr w:type="gramEnd"/>
      <w:r>
        <w:rPr>
          <w:rFonts w:eastAsia="Calibri" w:cs="Arial"/>
          <w:b/>
          <w:bCs/>
          <w:szCs w:val="20"/>
        </w:rPr>
        <w:t xml:space="preserve"> Layers</w:t>
      </w:r>
    </w:p>
    <w:p w14:paraId="1DB3776D" w14:textId="75EB3D6F" w:rsidR="00E43710" w:rsidRDefault="00E43710" w:rsidP="00E43710">
      <w:pPr>
        <w:pStyle w:val="spParagraph"/>
        <w:rPr>
          <w:rFonts w:eastAsia="Calibri" w:cs="Arial"/>
          <w:szCs w:val="20"/>
        </w:rPr>
      </w:pPr>
      <w:r>
        <w:rPr>
          <w:rFonts w:eastAsia="Calibri" w:cs="Arial"/>
          <w:szCs w:val="20"/>
        </w:rPr>
        <w:t>Place the steel reinforcement full width in one piece as shown on the plans. No splicing will be allowed. Maintain elements in position during backfilling.</w:t>
      </w:r>
    </w:p>
    <w:p w14:paraId="1DAD22D0" w14:textId="419C0C54" w:rsidR="00E43710" w:rsidRDefault="00E43710" w:rsidP="00E43710">
      <w:pPr>
        <w:pStyle w:val="spParagraph"/>
        <w:rPr>
          <w:rFonts w:eastAsia="Calibri" w:cs="Arial"/>
          <w:b/>
          <w:bCs/>
          <w:szCs w:val="20"/>
        </w:rPr>
      </w:pPr>
      <w:proofErr w:type="gramStart"/>
      <w:r>
        <w:rPr>
          <w:rFonts w:eastAsia="Calibri" w:cs="Arial"/>
          <w:b/>
          <w:bCs/>
          <w:szCs w:val="20"/>
        </w:rPr>
        <w:t>C.4  Quality</w:t>
      </w:r>
      <w:proofErr w:type="gramEnd"/>
      <w:r>
        <w:rPr>
          <w:rFonts w:eastAsia="Calibri" w:cs="Arial"/>
          <w:b/>
          <w:bCs/>
          <w:szCs w:val="20"/>
        </w:rPr>
        <w:t xml:space="preserve"> Management Program</w:t>
      </w:r>
    </w:p>
    <w:p w14:paraId="6830FB85" w14:textId="6827E02F" w:rsidR="00E43710" w:rsidRDefault="00E43710" w:rsidP="00E43710">
      <w:pPr>
        <w:pStyle w:val="spParagraph"/>
        <w:rPr>
          <w:rFonts w:eastAsia="Calibri" w:cs="Arial"/>
          <w:b/>
          <w:bCs/>
          <w:szCs w:val="20"/>
        </w:rPr>
      </w:pPr>
      <w:proofErr w:type="gramStart"/>
      <w:r>
        <w:rPr>
          <w:rFonts w:eastAsia="Calibri" w:cs="Arial"/>
          <w:b/>
          <w:bCs/>
          <w:szCs w:val="20"/>
        </w:rPr>
        <w:t>C.4.1  Quality</w:t>
      </w:r>
      <w:proofErr w:type="gramEnd"/>
      <w:r>
        <w:rPr>
          <w:rFonts w:eastAsia="Calibri" w:cs="Arial"/>
          <w:b/>
          <w:bCs/>
          <w:szCs w:val="20"/>
        </w:rPr>
        <w:t xml:space="preserve"> Control Plan</w:t>
      </w:r>
    </w:p>
    <w:p w14:paraId="72F72210" w14:textId="77777777" w:rsidR="00E43710" w:rsidRPr="00E43710" w:rsidRDefault="00E43710" w:rsidP="00E43710">
      <w:pPr>
        <w:rPr>
          <w:rFonts w:eastAsia="Calibri" w:cs="Arial"/>
        </w:rPr>
      </w:pPr>
      <w:r w:rsidRPr="00E43710">
        <w:rPr>
          <w:rFonts w:eastAsia="Calibri" w:cs="Arial"/>
        </w:rPr>
        <w:t xml:space="preserve">Submit a comprehensive written quality control plan to the engineer at or before the pre-construction meeting. Do not perform abutment anchorage construction work before the engineer reviews and accepts the plan. Construct the project as the plan provides. </w:t>
      </w:r>
    </w:p>
    <w:p w14:paraId="0DE2B48E" w14:textId="77777777" w:rsidR="00E43710" w:rsidRPr="00E43710" w:rsidRDefault="00E43710" w:rsidP="00E43710">
      <w:pPr>
        <w:rPr>
          <w:rFonts w:eastAsia="Calibri" w:cs="Arial"/>
        </w:rPr>
      </w:pPr>
      <w:r w:rsidRPr="00E43710">
        <w:rPr>
          <w:rFonts w:eastAsia="Calibri" w:cs="Arial"/>
        </w:rPr>
        <w:t xml:space="preserve">Do not change the quality control plan without the engineer’s review and acceptance. Update the plan with changes as they become effective. Provide a </w:t>
      </w:r>
      <w:proofErr w:type="gramStart"/>
      <w:r w:rsidRPr="00E43710">
        <w:rPr>
          <w:rFonts w:eastAsia="Calibri" w:cs="Arial"/>
        </w:rPr>
        <w:t>current copy of the</w:t>
      </w:r>
      <w:proofErr w:type="gramEnd"/>
      <w:r w:rsidRPr="00E43710">
        <w:rPr>
          <w:rFonts w:eastAsia="Calibri" w:cs="Arial"/>
        </w:rPr>
        <w:t xml:space="preserve"> plan to the engineer and post in the contractor’s laboratory as changes are adopted. Ensure that the plan provides the following elements: </w:t>
      </w:r>
    </w:p>
    <w:p w14:paraId="6AD81A9A" w14:textId="2122B05A" w:rsidR="00E43710" w:rsidRDefault="00E43710" w:rsidP="00E43710">
      <w:pPr>
        <w:pStyle w:val="spNumList1"/>
        <w:numPr>
          <w:ilvl w:val="0"/>
          <w:numId w:val="53"/>
        </w:numPr>
      </w:pPr>
      <w:r>
        <w:t>An organizational chart with names, telephone numbers, current certifications and/or titles, and roles and responsibilities of QC personnel</w:t>
      </w:r>
      <w:r w:rsidRPr="00981395">
        <w:t>.</w:t>
      </w:r>
    </w:p>
    <w:p w14:paraId="5C5417D2" w14:textId="7B94E2A6" w:rsidR="00E43710" w:rsidRDefault="00E43710" w:rsidP="00E43710">
      <w:pPr>
        <w:pStyle w:val="spNumList1"/>
        <w:numPr>
          <w:ilvl w:val="0"/>
          <w:numId w:val="53"/>
        </w:numPr>
      </w:pPr>
      <w:r>
        <w:t>The process used to disseminate QC information and corrective action efforts to the appropriate persons. Include a list of recipients, the communication process that will be used, and action timeframes.</w:t>
      </w:r>
    </w:p>
    <w:p w14:paraId="277AA3A2" w14:textId="2F6DA23D" w:rsidR="00E43710" w:rsidRDefault="00E43710" w:rsidP="00E43710">
      <w:pPr>
        <w:pStyle w:val="spNumList1"/>
        <w:numPr>
          <w:ilvl w:val="0"/>
          <w:numId w:val="53"/>
        </w:numPr>
      </w:pPr>
      <w:r>
        <w:t>A list of source locations, section and quarter descriptions, for all aggregate materials requiring QC testing.</w:t>
      </w:r>
    </w:p>
    <w:p w14:paraId="3CE2FDEC" w14:textId="6691B7B0" w:rsidR="00E43710" w:rsidRDefault="00E43710" w:rsidP="00E43710">
      <w:pPr>
        <w:pStyle w:val="spNumList1"/>
        <w:numPr>
          <w:ilvl w:val="0"/>
          <w:numId w:val="53"/>
        </w:numPr>
      </w:pPr>
      <w:r>
        <w:t>Descriptions of stockpiling and hauling methods.</w:t>
      </w:r>
    </w:p>
    <w:p w14:paraId="7135DE85" w14:textId="2429494B" w:rsidR="00E43710" w:rsidRDefault="00E43710" w:rsidP="00E43710">
      <w:pPr>
        <w:pStyle w:val="spNumList1"/>
        <w:numPr>
          <w:ilvl w:val="0"/>
          <w:numId w:val="53"/>
        </w:numPr>
      </w:pPr>
      <w:r>
        <w:t>An outline for resolving a process control problem. Include responsible personnel, required documentation, and appropriate communication steps.</w:t>
      </w:r>
    </w:p>
    <w:p w14:paraId="582E92D8" w14:textId="74A1155A" w:rsidR="00E43710" w:rsidRDefault="00E43710" w:rsidP="00E43710">
      <w:pPr>
        <w:pStyle w:val="spNumList1"/>
        <w:numPr>
          <w:ilvl w:val="0"/>
          <w:numId w:val="53"/>
        </w:numPr>
      </w:pPr>
      <w:proofErr w:type="gramStart"/>
      <w:r>
        <w:t>Location of the QC laboratory,</w:t>
      </w:r>
      <w:proofErr w:type="gramEnd"/>
      <w:r>
        <w:t xml:space="preserve"> retained sample storage, and other documentation.</w:t>
      </w:r>
    </w:p>
    <w:p w14:paraId="09599319" w14:textId="3E4C76EB" w:rsidR="00E43710" w:rsidRDefault="00E43710" w:rsidP="00E43710">
      <w:pPr>
        <w:pStyle w:val="spNumList1"/>
        <w:numPr>
          <w:ilvl w:val="0"/>
          <w:numId w:val="53"/>
        </w:numPr>
      </w:pPr>
      <w:r>
        <w:t>A summary of the locations and calculated quantities to be tested under this provision.</w:t>
      </w:r>
    </w:p>
    <w:p w14:paraId="041E08F8" w14:textId="5A851BEE" w:rsidR="00E43710" w:rsidRDefault="00E43710" w:rsidP="00E43710">
      <w:pPr>
        <w:pStyle w:val="spNumList1"/>
        <w:numPr>
          <w:ilvl w:val="0"/>
          <w:numId w:val="53"/>
        </w:numPr>
      </w:pPr>
      <w:r>
        <w:t>A proposed sequencing plan of abutment anchorage construction operations and random test locations.</w:t>
      </w:r>
    </w:p>
    <w:p w14:paraId="62F92606" w14:textId="7E939A2C" w:rsidR="00E43710" w:rsidRDefault="00E43710" w:rsidP="00AF79FF">
      <w:pPr>
        <w:pStyle w:val="spParagraph"/>
        <w:rPr>
          <w:rStyle w:val="spHeading"/>
        </w:rPr>
      </w:pPr>
      <w:proofErr w:type="gramStart"/>
      <w:r>
        <w:rPr>
          <w:rStyle w:val="spHeading"/>
        </w:rPr>
        <w:t>C.4.2  Quality</w:t>
      </w:r>
      <w:proofErr w:type="gramEnd"/>
      <w:r>
        <w:rPr>
          <w:rStyle w:val="spHeading"/>
        </w:rPr>
        <w:t xml:space="preserve"> Control Personnel</w:t>
      </w:r>
    </w:p>
    <w:p w14:paraId="7E50368C" w14:textId="77777777" w:rsidR="00E43710" w:rsidRPr="00E43710" w:rsidRDefault="00E43710" w:rsidP="00E43710">
      <w:pPr>
        <w:rPr>
          <w:rFonts w:eastAsia="Calibri" w:cs="Arial"/>
        </w:rPr>
      </w:pPr>
      <w:r w:rsidRPr="00E43710">
        <w:rPr>
          <w:rFonts w:eastAsia="Calibri" w:cs="Arial"/>
        </w:rPr>
        <w:t xml:space="preserve">Perform the quality control sampling, testing, and documentation required under this provision using HTCP certified technicians. Have a HTCP Grading Technician I (GRADINGTEC-I); or Assistant Certified Technician, Grading (ACT-GRADING); or Aggregate Technician I (AGGTEC-I); or Assistant Certified Technician, Aggregate (ACT-AGG) present at each grading site during all abutment anchorage backfill placement, compaction, and nuclear testing activities. Have a HTCP Nuclear Density Technician I (NUCDENSITYTEC-I) or Assistant Certified Technician, Nuclear Density Gauge Operator (ACT-NUC) perform field density and field moisture content testing. </w:t>
      </w:r>
    </w:p>
    <w:p w14:paraId="1C1B70CF" w14:textId="6649A32D" w:rsidR="00E43710" w:rsidRDefault="00E43710" w:rsidP="00E43710">
      <w:pPr>
        <w:pStyle w:val="spParagraph"/>
        <w:rPr>
          <w:rFonts w:eastAsia="Calibri" w:cs="Arial"/>
          <w:szCs w:val="20"/>
        </w:rPr>
      </w:pPr>
      <w:r w:rsidRPr="00E43710">
        <w:rPr>
          <w:rFonts w:eastAsia="Calibri" w:cs="Arial"/>
          <w:szCs w:val="20"/>
        </w:rPr>
        <w:t>If an Assistant Certified Technician (ACT) is performing sampling or testing, a certified technician must coordinate and take responsibility for the work an ACT performs. Have a certified technician ensure that all sampling and testing is performed correctly, analyze test results, and post resulting data. No more than one ACT can work under a single certified technician.</w:t>
      </w:r>
    </w:p>
    <w:p w14:paraId="0FA866E2" w14:textId="5A93180B" w:rsidR="00E43710" w:rsidRDefault="00E43710" w:rsidP="00E43710">
      <w:pPr>
        <w:pStyle w:val="spParagraph"/>
        <w:rPr>
          <w:rFonts w:eastAsia="Calibri" w:cs="Arial"/>
          <w:b/>
          <w:bCs/>
          <w:szCs w:val="20"/>
        </w:rPr>
      </w:pPr>
      <w:proofErr w:type="gramStart"/>
      <w:r>
        <w:rPr>
          <w:rFonts w:eastAsia="Calibri" w:cs="Arial"/>
          <w:b/>
          <w:bCs/>
          <w:szCs w:val="20"/>
        </w:rPr>
        <w:t>C.4.3  Equipment</w:t>
      </w:r>
      <w:proofErr w:type="gramEnd"/>
    </w:p>
    <w:p w14:paraId="6013FA10" w14:textId="77777777" w:rsidR="00E43710" w:rsidRPr="00B63A81" w:rsidRDefault="00E43710" w:rsidP="00B63A81">
      <w:pPr>
        <w:rPr>
          <w:rFonts w:eastAsia="Calibri" w:cs="Arial"/>
        </w:rPr>
      </w:pPr>
      <w:r w:rsidRPr="00B63A81">
        <w:rPr>
          <w:rFonts w:eastAsia="Calibri" w:cs="Arial"/>
        </w:rPr>
        <w:lastRenderedPageBreak/>
        <w:t xml:space="preserve">Furnish the necessary equipment and supplies for performing quality control testing. Ensure that all testing equipment conforms to the equipment specifications applicable to the required testing methods. The engineer may inspect the measuring and testing devices to confirm both calibration and condition. Calibrate all testing equipment according to the CMM and maintain a calibration record at the laboratory. </w:t>
      </w:r>
    </w:p>
    <w:p w14:paraId="6B840039" w14:textId="67C8D1FF" w:rsidR="00E43710" w:rsidRPr="00B63A81" w:rsidRDefault="00E43710" w:rsidP="00B63A81">
      <w:pPr>
        <w:rPr>
          <w:rFonts w:eastAsia="Calibri" w:cs="Arial"/>
        </w:rPr>
      </w:pPr>
      <w:r w:rsidRPr="00B63A81">
        <w:rPr>
          <w:rFonts w:eastAsia="Calibri" w:cs="Arial"/>
        </w:rPr>
        <w:t xml:space="preserve">Furnish nuclear gauges from the department’s approved product list at:  </w:t>
      </w:r>
      <w:hyperlink r:id="rId13" w:history="1">
        <w:r w:rsidRPr="00B63A81">
          <w:rPr>
            <w:rStyle w:val="Hyperlink"/>
            <w:rFonts w:eastAsia="Calibri" w:cs="Arial"/>
          </w:rPr>
          <w:t>https://wisconsindot.gov/Pages/doing-bus/eng-consultants/cnslt-rsrces/tools/appr-prod/default.aspx</w:t>
        </w:r>
      </w:hyperlink>
      <w:r w:rsidRPr="00B63A81">
        <w:rPr>
          <w:rFonts w:eastAsia="Calibri" w:cs="Arial"/>
        </w:rPr>
        <w:t xml:space="preserve">   </w:t>
      </w:r>
    </w:p>
    <w:p w14:paraId="42096AB1" w14:textId="77777777" w:rsidR="00E43710" w:rsidRPr="00B63A81" w:rsidRDefault="00E43710" w:rsidP="00B63A81">
      <w:pPr>
        <w:rPr>
          <w:rFonts w:eastAsia="Calibri" w:cs="Arial"/>
        </w:rPr>
      </w:pPr>
      <w:r w:rsidRPr="00B63A81">
        <w:rPr>
          <w:rFonts w:eastAsia="Calibri" w:cs="Arial"/>
        </w:rPr>
        <w:t xml:space="preserve">Ensure that the nuclear gauge manufacturer or an approved calibration service calibrates the gauge the same calendar year it is used on the project. Retain a copy of the calibration certificate with the gauge. </w:t>
      </w:r>
    </w:p>
    <w:p w14:paraId="7E4ED5FF" w14:textId="4F22F805" w:rsidR="00E43710" w:rsidRPr="00B63A81" w:rsidRDefault="00E43710" w:rsidP="00B63A81">
      <w:pPr>
        <w:rPr>
          <w:rFonts w:eastAsia="Calibri" w:cs="Arial"/>
        </w:rPr>
      </w:pPr>
      <w:r w:rsidRPr="00B63A81">
        <w:rPr>
          <w:rFonts w:eastAsia="Calibri" w:cs="Arial"/>
        </w:rPr>
        <w:t xml:space="preserve">Conform to ASTM T310 and CMM 8-15 for density testing and gauge monitoring methods. </w:t>
      </w:r>
    </w:p>
    <w:p w14:paraId="35CE4F6A" w14:textId="3174A5B4" w:rsidR="00E43710" w:rsidRDefault="00E43710" w:rsidP="00B63A81">
      <w:pPr>
        <w:pStyle w:val="spParagraph"/>
        <w:rPr>
          <w:rFonts w:eastAsia="Calibri" w:cs="Arial"/>
          <w:szCs w:val="20"/>
        </w:rPr>
      </w:pPr>
      <w:r w:rsidRPr="00B63A81">
        <w:rPr>
          <w:rFonts w:eastAsia="Calibri" w:cs="Arial"/>
          <w:szCs w:val="20"/>
        </w:rPr>
        <w:t xml:space="preserve">Split each Proctor sample and identify </w:t>
      </w:r>
      <w:proofErr w:type="gramStart"/>
      <w:r w:rsidRPr="00B63A81">
        <w:rPr>
          <w:rFonts w:eastAsia="Calibri" w:cs="Arial"/>
          <w:szCs w:val="20"/>
        </w:rPr>
        <w:t>so as to</w:t>
      </w:r>
      <w:proofErr w:type="gramEnd"/>
      <w:r w:rsidRPr="00B63A81">
        <w:rPr>
          <w:rFonts w:eastAsia="Calibri" w:cs="Arial"/>
          <w:szCs w:val="20"/>
        </w:rPr>
        <w:t xml:space="preserve"> provide comparison with the department's test results. Unless the engineer directs otherwise, retain the QC split samples for 14 calendar days and promptly deliver the department’s split samples to the department.</w:t>
      </w:r>
    </w:p>
    <w:p w14:paraId="716A33E8" w14:textId="0C97E44A" w:rsidR="00B63A81" w:rsidRDefault="00B63A81" w:rsidP="00B63A81">
      <w:pPr>
        <w:pStyle w:val="spParagraph"/>
        <w:rPr>
          <w:rFonts w:eastAsia="Calibri" w:cs="Arial"/>
          <w:b/>
          <w:bCs/>
          <w:szCs w:val="20"/>
        </w:rPr>
      </w:pPr>
      <w:proofErr w:type="gramStart"/>
      <w:r>
        <w:rPr>
          <w:rFonts w:eastAsia="Calibri" w:cs="Arial"/>
          <w:b/>
          <w:bCs/>
          <w:szCs w:val="20"/>
        </w:rPr>
        <w:t>C.4.4  Documentation</w:t>
      </w:r>
      <w:proofErr w:type="gramEnd"/>
    </w:p>
    <w:p w14:paraId="4E279069" w14:textId="77777777" w:rsidR="00B63A81" w:rsidRPr="00B63A81" w:rsidRDefault="00B63A81" w:rsidP="00B63A81">
      <w:pPr>
        <w:rPr>
          <w:rFonts w:eastAsia="Calibri" w:cs="Arial"/>
        </w:rPr>
      </w:pPr>
      <w:r w:rsidRPr="00B63A81">
        <w:rPr>
          <w:rFonts w:eastAsia="Calibri" w:cs="Arial"/>
        </w:rPr>
        <w:t xml:space="preserve">Document all observations, inspection records, and process adjustments daily. Submit test results to the department's project materials coordinator on the same day they become available. </w:t>
      </w:r>
    </w:p>
    <w:p w14:paraId="5EDBE0BD" w14:textId="77777777" w:rsidR="00B63A81" w:rsidRPr="00B63A81" w:rsidRDefault="00B63A81" w:rsidP="00B63A81">
      <w:pPr>
        <w:rPr>
          <w:rFonts w:eastAsia="Calibri" w:cs="Arial"/>
        </w:rPr>
      </w:pPr>
      <w:r w:rsidRPr="00B63A81">
        <w:rPr>
          <w:rFonts w:eastAsia="Calibri" w:cs="Arial"/>
        </w:rPr>
        <w:t xml:space="preserve">Use forms provided in CMM Chapter 8. Note other information in a permanent field record and as a part of process control documentation enumerated in the contractor's quality control plan. Enter QC data and backfill material certified report results into the applicable materials reporting system (MRS) software within 5 business days after results are available. </w:t>
      </w:r>
    </w:p>
    <w:p w14:paraId="1ED50FA3" w14:textId="34498F46" w:rsidR="00B63A81" w:rsidRDefault="00B63A81" w:rsidP="00B63A81">
      <w:pPr>
        <w:pStyle w:val="spParagraph"/>
        <w:rPr>
          <w:rFonts w:eastAsia="Calibri" w:cs="Arial"/>
          <w:szCs w:val="20"/>
        </w:rPr>
      </w:pPr>
      <w:r w:rsidRPr="00B63A81">
        <w:rPr>
          <w:rFonts w:eastAsia="Calibri" w:cs="Arial"/>
          <w:szCs w:val="20"/>
        </w:rPr>
        <w:t>Submit final testing records and other documentation to the engineer electronically within 10 business days after all contract-required information becomes available. The engineer may allow submission of scanned copies of hand-written documentation.</w:t>
      </w:r>
    </w:p>
    <w:p w14:paraId="799472AF" w14:textId="607F801A" w:rsidR="00B63A81" w:rsidRDefault="00B63A81" w:rsidP="00B63A81">
      <w:pPr>
        <w:pStyle w:val="spParagraph"/>
        <w:rPr>
          <w:rFonts w:eastAsia="Calibri" w:cs="Arial"/>
          <w:b/>
          <w:bCs/>
          <w:szCs w:val="20"/>
        </w:rPr>
      </w:pPr>
      <w:proofErr w:type="gramStart"/>
      <w:r>
        <w:rPr>
          <w:rFonts w:eastAsia="Calibri" w:cs="Arial"/>
          <w:b/>
          <w:bCs/>
          <w:szCs w:val="20"/>
        </w:rPr>
        <w:t>C.4.5  Quality</w:t>
      </w:r>
      <w:proofErr w:type="gramEnd"/>
      <w:r>
        <w:rPr>
          <w:rFonts w:eastAsia="Calibri" w:cs="Arial"/>
          <w:b/>
          <w:bCs/>
          <w:szCs w:val="20"/>
        </w:rPr>
        <w:t xml:space="preserve"> Control (QC) Testing</w:t>
      </w:r>
    </w:p>
    <w:p w14:paraId="78AD3C33" w14:textId="77777777" w:rsidR="00B63A81" w:rsidRPr="00B63A81" w:rsidRDefault="00B63A81" w:rsidP="00B63A81">
      <w:pPr>
        <w:rPr>
          <w:rFonts w:eastAsia="Calibri" w:cs="Arial"/>
        </w:rPr>
      </w:pPr>
      <w:r w:rsidRPr="00B63A81">
        <w:rPr>
          <w:rFonts w:eastAsia="Calibri" w:cs="Arial"/>
        </w:rPr>
        <w:t xml:space="preserve">Perform compaction testing on the backfill. Conform to CMM 8-15 for testing and gauge monitoring methods. Conduct testing at a minimum frequency of 1 test per 150 cubic yards of backfill, or major portion thereof in each lift. A minimum of one test for every lift is required. Deliver documentation of all </w:t>
      </w:r>
      <w:proofErr w:type="gramStart"/>
      <w:r w:rsidRPr="00B63A81">
        <w:rPr>
          <w:rFonts w:eastAsia="Calibri" w:cs="Arial"/>
        </w:rPr>
        <w:t>compaction</w:t>
      </w:r>
      <w:proofErr w:type="gramEnd"/>
      <w:r w:rsidRPr="00B63A81">
        <w:rPr>
          <w:rFonts w:eastAsia="Calibri" w:cs="Arial"/>
        </w:rPr>
        <w:t xml:space="preserve"> testing results to the engineer at the time of testing. </w:t>
      </w:r>
    </w:p>
    <w:p w14:paraId="55643FB0" w14:textId="28EB77C6" w:rsidR="00B63A81" w:rsidRDefault="00B63A81" w:rsidP="00B63A81">
      <w:pPr>
        <w:pStyle w:val="spParagraph"/>
        <w:rPr>
          <w:rFonts w:eastAsia="Calibri" w:cs="Arial"/>
          <w:szCs w:val="20"/>
        </w:rPr>
      </w:pPr>
      <w:r w:rsidRPr="00B63A81">
        <w:rPr>
          <w:rFonts w:eastAsia="Calibri" w:cs="Arial"/>
          <w:szCs w:val="20"/>
        </w:rPr>
        <w:t xml:space="preserve">Perform one </w:t>
      </w:r>
      <w:proofErr w:type="gramStart"/>
      <w:r w:rsidRPr="00B63A81">
        <w:rPr>
          <w:rFonts w:eastAsia="Calibri" w:cs="Arial"/>
          <w:szCs w:val="20"/>
        </w:rPr>
        <w:t>gradation</w:t>
      </w:r>
      <w:proofErr w:type="gramEnd"/>
      <w:r w:rsidRPr="00B63A81">
        <w:rPr>
          <w:rFonts w:eastAsia="Calibri" w:cs="Arial"/>
          <w:szCs w:val="20"/>
        </w:rPr>
        <w:t xml:space="preserve"> test every 750 cubic yards of fill and one 5-point Proctor test (or as modified in C.2) every 2,250 cubic yards of fill. Provide the region split samples of both within 72 hours of sampling, at the region laboratory. Test sites shall be selected using ASTM Method D3665. Provide Proctor test results to the engineer within 48 hours of sampling. Provide gradation test results to the engineer within 24 hours of sampling.</w:t>
      </w:r>
    </w:p>
    <w:p w14:paraId="20EEDD9E" w14:textId="09B3DB97" w:rsidR="00B63A81" w:rsidRDefault="00B63A81" w:rsidP="00B63A81">
      <w:pPr>
        <w:pStyle w:val="spParagraph"/>
        <w:rPr>
          <w:rFonts w:eastAsia="Calibri" w:cs="Arial"/>
          <w:b/>
          <w:bCs/>
          <w:szCs w:val="20"/>
        </w:rPr>
      </w:pPr>
      <w:proofErr w:type="gramStart"/>
      <w:r>
        <w:rPr>
          <w:rFonts w:eastAsia="Calibri" w:cs="Arial"/>
          <w:b/>
          <w:bCs/>
          <w:szCs w:val="20"/>
        </w:rPr>
        <w:t>C.4.6  Department</w:t>
      </w:r>
      <w:proofErr w:type="gramEnd"/>
      <w:r>
        <w:rPr>
          <w:rFonts w:eastAsia="Calibri" w:cs="Arial"/>
          <w:b/>
          <w:bCs/>
          <w:szCs w:val="20"/>
        </w:rPr>
        <w:t xml:space="preserve"> Testing</w:t>
      </w:r>
    </w:p>
    <w:p w14:paraId="7F86D9FB" w14:textId="3C7D7C28" w:rsidR="00B63A81" w:rsidRDefault="00B63A81" w:rsidP="00B63A81">
      <w:pPr>
        <w:pStyle w:val="spParagraph"/>
        <w:rPr>
          <w:rFonts w:eastAsia="Calibri" w:cs="Arial"/>
          <w:b/>
          <w:bCs/>
          <w:szCs w:val="20"/>
        </w:rPr>
      </w:pPr>
      <w:proofErr w:type="gramStart"/>
      <w:r>
        <w:rPr>
          <w:rFonts w:eastAsia="Calibri" w:cs="Arial"/>
          <w:b/>
          <w:bCs/>
          <w:szCs w:val="20"/>
        </w:rPr>
        <w:t>C.4.6.1  General</w:t>
      </w:r>
      <w:proofErr w:type="gramEnd"/>
    </w:p>
    <w:p w14:paraId="6B240ECE" w14:textId="77777777" w:rsidR="00B63A81" w:rsidRPr="00B63A81" w:rsidRDefault="00B63A81" w:rsidP="00B63A81">
      <w:pPr>
        <w:rPr>
          <w:rFonts w:eastAsia="Calibri" w:cs="Arial"/>
        </w:rPr>
      </w:pPr>
      <w:r w:rsidRPr="00B63A81">
        <w:rPr>
          <w:rFonts w:eastAsia="Calibri" w:cs="Arial"/>
        </w:rPr>
        <w:t xml:space="preserve">The department will conduct verification testing to validate the quality of the product and independent assurance testing to evaluate the sampling and testing. The department will provide the contractor with a listing of names and telephone numbers of all QV and IA personnel for the project and provide test results to the contractor within 2 business days after the department obtains the sample. </w:t>
      </w:r>
    </w:p>
    <w:p w14:paraId="63D6A507" w14:textId="44144823" w:rsidR="00B63A81" w:rsidRPr="00B63A81" w:rsidRDefault="00B63A81" w:rsidP="00B63A81">
      <w:pPr>
        <w:pStyle w:val="spParagraph"/>
        <w:rPr>
          <w:rFonts w:eastAsia="Calibri" w:cs="Arial"/>
          <w:b/>
          <w:bCs/>
          <w:szCs w:val="20"/>
        </w:rPr>
      </w:pPr>
      <w:proofErr w:type="gramStart"/>
      <w:r w:rsidRPr="00B63A81">
        <w:rPr>
          <w:rFonts w:eastAsia="Calibri" w:cs="Arial"/>
          <w:b/>
          <w:bCs/>
          <w:szCs w:val="20"/>
        </w:rPr>
        <w:t>C.4.6.2  Quality</w:t>
      </w:r>
      <w:proofErr w:type="gramEnd"/>
      <w:r w:rsidRPr="00B63A81">
        <w:rPr>
          <w:rFonts w:eastAsia="Calibri" w:cs="Arial"/>
          <w:b/>
          <w:bCs/>
          <w:szCs w:val="20"/>
        </w:rPr>
        <w:t xml:space="preserve"> Verification (QV) Testing</w:t>
      </w:r>
    </w:p>
    <w:p w14:paraId="45D70E1F" w14:textId="77777777" w:rsidR="00B63A81" w:rsidRPr="00B63A81" w:rsidRDefault="00B63A81" w:rsidP="00B63A81">
      <w:pPr>
        <w:rPr>
          <w:rFonts w:eastAsia="Calibri" w:cs="Arial"/>
        </w:rPr>
      </w:pPr>
      <w:r w:rsidRPr="00B63A81">
        <w:rPr>
          <w:rFonts w:eastAsia="Calibri" w:cs="Arial"/>
        </w:rPr>
        <w:t xml:space="preserve">The department will have an HTCP technician, or ACT working under a certified technician, perform QV sampling and testing. Department verification testing personnel must meet the same certification level requirements specified in C.4.2 for contractor testing personnel for each test result being verified. The department will notify the contractor before sampling so the contractor can observe QV sampling. </w:t>
      </w:r>
    </w:p>
    <w:p w14:paraId="6645995F" w14:textId="77777777" w:rsidR="00B63A81" w:rsidRPr="00B63A81" w:rsidRDefault="00B63A81" w:rsidP="00B63A81">
      <w:pPr>
        <w:rPr>
          <w:rFonts w:eastAsia="Calibri" w:cs="Arial"/>
        </w:rPr>
      </w:pPr>
      <w:r w:rsidRPr="00B63A81">
        <w:rPr>
          <w:rFonts w:eastAsia="Calibri" w:cs="Arial"/>
        </w:rPr>
        <w:t xml:space="preserve">The department will conduct QV tests at the minimum frequency of 30% of the required contractor density, Proctor and gradation tests. </w:t>
      </w:r>
    </w:p>
    <w:p w14:paraId="1719B0C0" w14:textId="77777777" w:rsidR="00B63A81" w:rsidRPr="00B63A81" w:rsidRDefault="00B63A81" w:rsidP="00B63A81">
      <w:pPr>
        <w:rPr>
          <w:rFonts w:eastAsia="Calibri" w:cs="Arial"/>
        </w:rPr>
      </w:pPr>
      <w:r w:rsidRPr="00B63A81">
        <w:rPr>
          <w:rFonts w:eastAsia="Calibri" w:cs="Arial"/>
        </w:rPr>
        <w:t xml:space="preserve">The department will locate density tests and gradation samples randomly, at locations independent of the contractor’s QC work. The department will split each Proctor and gradation QV sample, testing half for QV, and retaining the remaining half for 10 business days. </w:t>
      </w:r>
    </w:p>
    <w:p w14:paraId="4F9E640E" w14:textId="77777777" w:rsidR="00B63A81" w:rsidRPr="00B63A81" w:rsidRDefault="00B63A81" w:rsidP="00B63A81">
      <w:pPr>
        <w:rPr>
          <w:rFonts w:eastAsia="Calibri" w:cs="Arial"/>
        </w:rPr>
      </w:pPr>
      <w:r w:rsidRPr="00B63A81">
        <w:rPr>
          <w:rFonts w:eastAsia="Calibri" w:cs="Arial"/>
        </w:rPr>
        <w:t xml:space="preserve">The department will conduct QV Proctor and gradation tests in a separate laboratory and with separate equipment from the contractor’s QC tests. The department will use the same methods specified for QC testing. </w:t>
      </w:r>
    </w:p>
    <w:p w14:paraId="3609DA4D" w14:textId="0A7150AB" w:rsidR="00E43710" w:rsidRPr="00B63A81" w:rsidRDefault="00B63A81" w:rsidP="00B63A81">
      <w:pPr>
        <w:pStyle w:val="spParagraph"/>
        <w:rPr>
          <w:rFonts w:eastAsia="Calibri" w:cs="Arial"/>
          <w:szCs w:val="20"/>
        </w:rPr>
      </w:pPr>
      <w:r w:rsidRPr="00B63A81">
        <w:rPr>
          <w:rFonts w:eastAsia="Calibri" w:cs="Arial"/>
          <w:szCs w:val="20"/>
        </w:rPr>
        <w:lastRenderedPageBreak/>
        <w:t xml:space="preserve">The department will assess QV results by </w:t>
      </w:r>
      <w:proofErr w:type="gramStart"/>
      <w:r w:rsidRPr="00B63A81">
        <w:rPr>
          <w:rFonts w:eastAsia="Calibri" w:cs="Arial"/>
          <w:szCs w:val="20"/>
        </w:rPr>
        <w:t>comparing</w:t>
      </w:r>
      <w:proofErr w:type="gramEnd"/>
      <w:r w:rsidRPr="00B63A81">
        <w:rPr>
          <w:rFonts w:eastAsia="Calibri" w:cs="Arial"/>
          <w:szCs w:val="20"/>
        </w:rPr>
        <w:t xml:space="preserve"> to the appropriate specification limits. If QV test results conform to this special provision, the department will take no further action. If density QV test results are nonconforming, the area shall be reworked until the density requirements of this special provision are met. If the gradation test results are nonconforming, standard spec 106.5 will apply. Differing QC and QV nuclear density values of more than 1.5 </w:t>
      </w:r>
      <w:proofErr w:type="spellStart"/>
      <w:r w:rsidRPr="00B63A81">
        <w:rPr>
          <w:rFonts w:eastAsia="Calibri" w:cs="Arial"/>
          <w:szCs w:val="20"/>
        </w:rPr>
        <w:t>pcf</w:t>
      </w:r>
      <w:proofErr w:type="spellEnd"/>
      <w:r w:rsidRPr="00B63A81">
        <w:rPr>
          <w:rFonts w:eastAsia="Calibri" w:cs="Arial"/>
          <w:szCs w:val="20"/>
        </w:rPr>
        <w:t xml:space="preserve"> will be investigated and resolved. QV density tests will be based on the appropriate QC Proctor test results, unless the QV and QC Proctor result difference is greater than 3.0 </w:t>
      </w:r>
      <w:proofErr w:type="spellStart"/>
      <w:r w:rsidRPr="00B63A81">
        <w:rPr>
          <w:rFonts w:eastAsia="Calibri" w:cs="Arial"/>
          <w:szCs w:val="20"/>
        </w:rPr>
        <w:t>pcf</w:t>
      </w:r>
      <w:proofErr w:type="spellEnd"/>
      <w:r w:rsidRPr="00B63A81">
        <w:rPr>
          <w:rFonts w:eastAsia="Calibri" w:cs="Arial"/>
          <w:szCs w:val="20"/>
        </w:rPr>
        <w:t xml:space="preserve">. Differing QC and QV Proctor values of more than 3.0 </w:t>
      </w:r>
      <w:proofErr w:type="spellStart"/>
      <w:r w:rsidRPr="00B63A81">
        <w:rPr>
          <w:rFonts w:eastAsia="Calibri" w:cs="Arial"/>
          <w:szCs w:val="20"/>
        </w:rPr>
        <w:t>pcf</w:t>
      </w:r>
      <w:proofErr w:type="spellEnd"/>
      <w:r w:rsidRPr="00B63A81">
        <w:rPr>
          <w:rFonts w:eastAsia="Calibri" w:cs="Arial"/>
          <w:szCs w:val="20"/>
        </w:rPr>
        <w:t xml:space="preserve"> will be investigated and resolved.</w:t>
      </w:r>
    </w:p>
    <w:p w14:paraId="6B511F44" w14:textId="2FF616F5" w:rsidR="00E43710" w:rsidRDefault="00B63A81" w:rsidP="00E43710">
      <w:pPr>
        <w:pStyle w:val="spParagraph"/>
        <w:rPr>
          <w:rFonts w:eastAsia="Calibri" w:cs="Arial"/>
          <w:b/>
          <w:bCs/>
          <w:szCs w:val="20"/>
        </w:rPr>
      </w:pPr>
      <w:proofErr w:type="gramStart"/>
      <w:r>
        <w:rPr>
          <w:rFonts w:eastAsia="Calibri" w:cs="Arial"/>
          <w:b/>
          <w:bCs/>
          <w:szCs w:val="20"/>
        </w:rPr>
        <w:t>C.4.6.3  Independent</w:t>
      </w:r>
      <w:proofErr w:type="gramEnd"/>
      <w:r>
        <w:rPr>
          <w:rFonts w:eastAsia="Calibri" w:cs="Arial"/>
          <w:b/>
          <w:bCs/>
          <w:szCs w:val="20"/>
        </w:rPr>
        <w:t xml:space="preserve"> Assurance (IA)</w:t>
      </w:r>
    </w:p>
    <w:p w14:paraId="1B93F84E" w14:textId="77777777" w:rsidR="00B63A81" w:rsidRPr="00B63A81" w:rsidRDefault="00B63A81" w:rsidP="00B63A81">
      <w:pPr>
        <w:rPr>
          <w:rFonts w:eastAsia="Calibri" w:cs="Arial"/>
        </w:rPr>
      </w:pPr>
      <w:r w:rsidRPr="00B63A81">
        <w:rPr>
          <w:rFonts w:eastAsia="Calibri" w:cs="Arial"/>
        </w:rPr>
        <w:t xml:space="preserve">Independent assurance is unbiased testing the department performs to evaluate the department’s QV and the contractor’s QC sampling and testing, including personnel qualifications, procedures, and equipment. The department will perform an IA review according to the department’s independent assurance program. That review may include one or more of the following:  </w:t>
      </w:r>
    </w:p>
    <w:p w14:paraId="702AE290" w14:textId="013D90F2" w:rsidR="00B63A81" w:rsidRDefault="00B63A81" w:rsidP="00B63A81">
      <w:pPr>
        <w:pStyle w:val="spNumList1"/>
        <w:numPr>
          <w:ilvl w:val="0"/>
          <w:numId w:val="58"/>
        </w:numPr>
      </w:pPr>
      <w:r>
        <w:t>Split sample testing</w:t>
      </w:r>
      <w:r w:rsidRPr="00981395">
        <w:t>.</w:t>
      </w:r>
    </w:p>
    <w:p w14:paraId="1DB41350" w14:textId="1FD2CF2D" w:rsidR="00B63A81" w:rsidRDefault="00B63A81" w:rsidP="00B63A81">
      <w:pPr>
        <w:pStyle w:val="spNumList1"/>
        <w:numPr>
          <w:ilvl w:val="0"/>
          <w:numId w:val="58"/>
        </w:numPr>
      </w:pPr>
      <w:r>
        <w:t>Proficiency sample testing.</w:t>
      </w:r>
    </w:p>
    <w:p w14:paraId="64237DC8" w14:textId="2E9E169A" w:rsidR="00B63A81" w:rsidRDefault="00B63A81" w:rsidP="00B63A81">
      <w:pPr>
        <w:pStyle w:val="spNumList1"/>
        <w:numPr>
          <w:ilvl w:val="0"/>
          <w:numId w:val="58"/>
        </w:numPr>
      </w:pPr>
      <w:r>
        <w:t>Witnessing sampling and testing.</w:t>
      </w:r>
    </w:p>
    <w:p w14:paraId="02C11DDD" w14:textId="3031305D" w:rsidR="00B63A81" w:rsidRDefault="00B63A81" w:rsidP="00B63A81">
      <w:pPr>
        <w:pStyle w:val="spNumList1"/>
        <w:numPr>
          <w:ilvl w:val="0"/>
          <w:numId w:val="58"/>
        </w:numPr>
      </w:pPr>
      <w:r>
        <w:t>Test equipment calibration checks.</w:t>
      </w:r>
    </w:p>
    <w:p w14:paraId="656E192A" w14:textId="12B5F6C2" w:rsidR="00B63A81" w:rsidRDefault="00B63A81" w:rsidP="00B63A81">
      <w:pPr>
        <w:pStyle w:val="spNumList1"/>
        <w:numPr>
          <w:ilvl w:val="0"/>
          <w:numId w:val="58"/>
        </w:numPr>
      </w:pPr>
      <w:r>
        <w:t>Reviewing required worksheets and control charts.</w:t>
      </w:r>
    </w:p>
    <w:p w14:paraId="40BB9AEC" w14:textId="20DC1701" w:rsidR="00B63A81" w:rsidRDefault="00B63A81" w:rsidP="00B63A81">
      <w:pPr>
        <w:pStyle w:val="spNumList1"/>
        <w:numPr>
          <w:ilvl w:val="0"/>
          <w:numId w:val="58"/>
        </w:numPr>
      </w:pPr>
      <w:r>
        <w:t>Requesting that testing personnel perform additional sampling and testing.</w:t>
      </w:r>
    </w:p>
    <w:p w14:paraId="2A70271E" w14:textId="02050DE7" w:rsidR="00E43710" w:rsidRDefault="00B63A81" w:rsidP="00B63A81">
      <w:pPr>
        <w:pStyle w:val="spParagraph"/>
        <w:rPr>
          <w:rFonts w:eastAsia="Calibri" w:cs="Arial"/>
          <w:szCs w:val="20"/>
        </w:rPr>
      </w:pPr>
      <w:r w:rsidRPr="00B63A81">
        <w:rPr>
          <w:rFonts w:eastAsia="Calibri" w:cs="Arial"/>
          <w:szCs w:val="20"/>
        </w:rPr>
        <w:t>If the department identifies a deficiency, and after further investigation confirms it, correct that deficiency. If the contractor does not correct or fails to cooperate in resolving identified deficiencies, the engineer may suspend placement until action is taken. Resolve disputes as specified in C.4.6.4.</w:t>
      </w:r>
    </w:p>
    <w:p w14:paraId="19E4B9B0" w14:textId="2FF6D347" w:rsidR="00B63A81" w:rsidRDefault="00B63A81" w:rsidP="00B63A81">
      <w:pPr>
        <w:pStyle w:val="spParagraph"/>
        <w:rPr>
          <w:rFonts w:eastAsia="Calibri" w:cs="Arial"/>
          <w:b/>
          <w:bCs/>
          <w:szCs w:val="20"/>
        </w:rPr>
      </w:pPr>
      <w:proofErr w:type="gramStart"/>
      <w:r>
        <w:rPr>
          <w:rFonts w:eastAsia="Calibri" w:cs="Arial"/>
          <w:b/>
          <w:bCs/>
          <w:szCs w:val="20"/>
        </w:rPr>
        <w:t>C.4.6.4  Dispute</w:t>
      </w:r>
      <w:proofErr w:type="gramEnd"/>
      <w:r>
        <w:rPr>
          <w:rFonts w:eastAsia="Calibri" w:cs="Arial"/>
          <w:b/>
          <w:bCs/>
          <w:szCs w:val="20"/>
        </w:rPr>
        <w:t xml:space="preserve"> Resolution</w:t>
      </w:r>
    </w:p>
    <w:p w14:paraId="735EB5BF" w14:textId="77777777" w:rsidR="00B63A81" w:rsidRPr="00B63A81" w:rsidRDefault="00B63A81" w:rsidP="00B63A81">
      <w:pPr>
        <w:rPr>
          <w:rFonts w:eastAsia="Calibri" w:cs="Arial"/>
        </w:rPr>
      </w:pPr>
      <w:r w:rsidRPr="00B63A81">
        <w:rPr>
          <w:rFonts w:eastAsia="Calibri" w:cs="Arial"/>
        </w:rPr>
        <w:t xml:space="preserve">The engineer and contractor should make every effort to avoid conflict. If a dispute between some aspect of the contractor’s and the engineer’s testing program does occur, seek a solution mutually agreeable </w:t>
      </w:r>
      <w:proofErr w:type="gramStart"/>
      <w:r w:rsidRPr="00B63A81">
        <w:rPr>
          <w:rFonts w:eastAsia="Calibri" w:cs="Arial"/>
        </w:rPr>
        <w:t>to</w:t>
      </w:r>
      <w:proofErr w:type="gramEnd"/>
      <w:r w:rsidRPr="00B63A81">
        <w:rPr>
          <w:rFonts w:eastAsia="Calibri" w:cs="Arial"/>
        </w:rPr>
        <w:t xml:space="preserve"> the project personnel. The department and contractor may review the data, examine data reduction and analysis methods, evaluate sampling and testing procedures, and perform additional testing. Use ASTM E 178 to evaluate potential statistically outlying data. </w:t>
      </w:r>
    </w:p>
    <w:p w14:paraId="136F55BA" w14:textId="31410639" w:rsidR="00B63A81" w:rsidRPr="00B63A81" w:rsidRDefault="00B63A81" w:rsidP="00B63A81">
      <w:pPr>
        <w:tabs>
          <w:tab w:val="left" w:pos="1260"/>
        </w:tabs>
        <w:rPr>
          <w:rFonts w:eastAsia="Calibri" w:cs="Arial"/>
        </w:rPr>
      </w:pPr>
      <w:r w:rsidRPr="00B63A81">
        <w:rPr>
          <w:rFonts w:eastAsia="Calibri" w:cs="Arial"/>
        </w:rPr>
        <w:t xml:space="preserve">Production test results, and results from other process control testing, may be considered when resolving a dispute. </w:t>
      </w:r>
    </w:p>
    <w:p w14:paraId="3138856E" w14:textId="394EF66E" w:rsidR="00B63A81" w:rsidRPr="00B63A81" w:rsidRDefault="00B63A81" w:rsidP="00B63A81">
      <w:pPr>
        <w:rPr>
          <w:rFonts w:eastAsia="Calibri" w:cs="Arial"/>
        </w:rPr>
      </w:pPr>
      <w:r w:rsidRPr="00B63A81">
        <w:rPr>
          <w:rFonts w:eastAsia="Calibri" w:cs="Arial"/>
        </w:rPr>
        <w:t xml:space="preserve">If the project personnel cannot resolve a dispute, and the dispute affects payment or could result in incorporating non-conforming </w:t>
      </w:r>
      <w:proofErr w:type="gramStart"/>
      <w:r w:rsidRPr="00B63A81">
        <w:rPr>
          <w:rFonts w:eastAsia="Calibri" w:cs="Arial"/>
        </w:rPr>
        <w:t>product</w:t>
      </w:r>
      <w:proofErr w:type="gramEnd"/>
      <w:r w:rsidRPr="00B63A81">
        <w:rPr>
          <w:rFonts w:eastAsia="Calibri" w:cs="Arial"/>
        </w:rPr>
        <w:t xml:space="preserve"> or work, the department will use third party testing to resolve the dispute. The department’s central office laboratory, or a mutually </w:t>
      </w:r>
      <w:proofErr w:type="gramStart"/>
      <w:r w:rsidRPr="00B63A81">
        <w:rPr>
          <w:rFonts w:eastAsia="Calibri" w:cs="Arial"/>
        </w:rPr>
        <w:t>agreed on</w:t>
      </w:r>
      <w:proofErr w:type="gramEnd"/>
      <w:r w:rsidRPr="00B63A81">
        <w:rPr>
          <w:rFonts w:eastAsia="Calibri" w:cs="Arial"/>
        </w:rPr>
        <w:t xml:space="preserve"> independent testing laboratory, will provide this testing. The engineer and contractor will abide by the results of the </w:t>
      </w:r>
      <w:proofErr w:type="gramStart"/>
      <w:r w:rsidRPr="00B63A81">
        <w:rPr>
          <w:rFonts w:eastAsia="Calibri" w:cs="Arial"/>
        </w:rPr>
        <w:t>third party</w:t>
      </w:r>
      <w:proofErr w:type="gramEnd"/>
      <w:r w:rsidRPr="00B63A81">
        <w:rPr>
          <w:rFonts w:eastAsia="Calibri" w:cs="Arial"/>
        </w:rPr>
        <w:t xml:space="preserve"> tests. The party in error will pay service charges incurred for testing by an independent laboratory. The department may use third party test results to evaluate the quality of questionable materials and determine the appropriate payment. The department may reject material or otherwise determine the final disposition of nonconforming material as specified in standard spec 106.5. </w:t>
      </w:r>
    </w:p>
    <w:p w14:paraId="3DBFF8AE" w14:textId="4EE2FC2E" w:rsidR="00B63A81" w:rsidRDefault="00B63A81" w:rsidP="00B63A81">
      <w:pPr>
        <w:pStyle w:val="spParagraph"/>
        <w:rPr>
          <w:rStyle w:val="spHeading"/>
          <w:rFonts w:cs="Arial"/>
          <w:bCs/>
          <w:szCs w:val="20"/>
        </w:rPr>
      </w:pPr>
      <w:proofErr w:type="gramStart"/>
      <w:r>
        <w:rPr>
          <w:rStyle w:val="spHeading"/>
          <w:rFonts w:cs="Arial"/>
          <w:bCs/>
          <w:szCs w:val="20"/>
        </w:rPr>
        <w:t>C.5  Geotechnical</w:t>
      </w:r>
      <w:proofErr w:type="gramEnd"/>
      <w:r>
        <w:rPr>
          <w:rStyle w:val="spHeading"/>
          <w:rFonts w:cs="Arial"/>
          <w:bCs/>
          <w:szCs w:val="20"/>
        </w:rPr>
        <w:t xml:space="preserve"> Information</w:t>
      </w:r>
    </w:p>
    <w:p w14:paraId="15B7BC66" w14:textId="77777777" w:rsidR="00B63A81" w:rsidRPr="00B63A81" w:rsidRDefault="00B63A81" w:rsidP="00B63A81">
      <w:pPr>
        <w:rPr>
          <w:rFonts w:eastAsia="Calibri" w:cs="Arial"/>
        </w:rPr>
      </w:pPr>
      <w:r w:rsidRPr="00B63A81">
        <w:rPr>
          <w:rFonts w:eastAsia="Calibri" w:cs="Arial"/>
        </w:rPr>
        <w:t xml:space="preserve">Geotechnical data to be used in the design of the abutment anchorage is given on the wall plan. After completing excavation of the entire reinforced soil zone, notify the department and allow the Regional Soils Engineer two working days to review the foundation. </w:t>
      </w:r>
    </w:p>
    <w:p w14:paraId="144B7AF4" w14:textId="77777777" w:rsidR="0058694A" w:rsidRPr="00A555F9" w:rsidRDefault="0058694A" w:rsidP="00AF79FF">
      <w:pPr>
        <w:pStyle w:val="spParagraph"/>
        <w:rPr>
          <w:rStyle w:val="spHeading"/>
        </w:rPr>
      </w:pPr>
      <w:proofErr w:type="gramStart"/>
      <w:r w:rsidRPr="00A555F9">
        <w:rPr>
          <w:rStyle w:val="spHeading"/>
        </w:rPr>
        <w:t>D  Measurement</w:t>
      </w:r>
      <w:proofErr w:type="gramEnd"/>
    </w:p>
    <w:p w14:paraId="2EB89465" w14:textId="33F2B514" w:rsidR="0058694A" w:rsidRDefault="0058694A" w:rsidP="00AF79FF">
      <w:pPr>
        <w:pStyle w:val="spParagraph"/>
      </w:pPr>
      <w:r>
        <w:t xml:space="preserve">The </w:t>
      </w:r>
      <w:r w:rsidRPr="00BB1F43">
        <w:t>department</w:t>
      </w:r>
      <w:r>
        <w:t xml:space="preserve"> will measure </w:t>
      </w:r>
      <w:r w:rsidR="00000772">
        <w:t>Abutment Anchorage</w:t>
      </w:r>
      <w:r>
        <w:t xml:space="preserve"> by the </w:t>
      </w:r>
      <w:r w:rsidR="00000772">
        <w:t>linear foot</w:t>
      </w:r>
      <w:r>
        <w:t>, acceptably completed</w:t>
      </w:r>
      <w:r w:rsidR="000F2A17">
        <w:t>, measured as the length of the abutment requiring anchorage</w:t>
      </w:r>
      <w:r>
        <w:t>.</w:t>
      </w:r>
    </w:p>
    <w:p w14:paraId="7A21B18B" w14:textId="77777777" w:rsidR="0058694A" w:rsidRPr="00A555F9" w:rsidRDefault="0058694A" w:rsidP="00AF79FF">
      <w:pPr>
        <w:pStyle w:val="spParagraph"/>
        <w:rPr>
          <w:rStyle w:val="spHeading"/>
        </w:rPr>
      </w:pPr>
      <w:proofErr w:type="gramStart"/>
      <w:r w:rsidRPr="00A555F9">
        <w:rPr>
          <w:rStyle w:val="spHeading"/>
        </w:rPr>
        <w:t>E  Payment</w:t>
      </w:r>
      <w:proofErr w:type="gramEnd"/>
    </w:p>
    <w:p w14:paraId="79A50CF1" w14:textId="77777777" w:rsidR="0058694A" w:rsidRPr="00982378" w:rsidRDefault="0058694A" w:rsidP="00AF79FF">
      <w:pPr>
        <w:pStyle w:val="spParagraph"/>
      </w:pPr>
      <w:r w:rsidRPr="00982378">
        <w:t>The department will pay for measured quantities at the contract unit price under the following bid item:</w:t>
      </w:r>
    </w:p>
    <w:p w14:paraId="4BEE65AC" w14:textId="77777777" w:rsidR="0058694A" w:rsidRPr="00137756" w:rsidRDefault="0058694A" w:rsidP="00B9066A">
      <w:pPr>
        <w:pStyle w:val="ssBidItem"/>
      </w:pPr>
      <w:r w:rsidRPr="00137756">
        <w:t>ITEM NUMBER</w:t>
      </w:r>
      <w:r w:rsidRPr="00137756">
        <w:tab/>
        <w:t>DESCRIPTION</w:t>
      </w:r>
      <w:r>
        <w:tab/>
      </w:r>
      <w:r w:rsidRPr="00137756">
        <w:t>UNIT</w:t>
      </w:r>
    </w:p>
    <w:p w14:paraId="13BF5586" w14:textId="10EA235A" w:rsidR="0058694A" w:rsidRPr="00137756" w:rsidRDefault="002A4101" w:rsidP="00B9066A">
      <w:pPr>
        <w:pStyle w:val="ssBidItem"/>
      </w:pPr>
      <w:proofErr w:type="gramStart"/>
      <w:r>
        <w:t>SPV.0090.xx</w:t>
      </w:r>
      <w:proofErr w:type="gramEnd"/>
      <w:r>
        <w:tab/>
        <w:t>Abutment Anchorage</w:t>
      </w:r>
      <w:r w:rsidR="0058694A">
        <w:tab/>
      </w:r>
      <w:r>
        <w:t>LF</w:t>
      </w:r>
    </w:p>
    <w:p w14:paraId="2E40A795" w14:textId="490D7692" w:rsidR="0058694A" w:rsidRDefault="0058694A" w:rsidP="00AF79FF">
      <w:pPr>
        <w:pStyle w:val="spParagraph"/>
      </w:pPr>
      <w:r>
        <w:t xml:space="preserve">Payment is full compensation for </w:t>
      </w:r>
      <w:r w:rsidR="002A4101">
        <w:t xml:space="preserve">supplying </w:t>
      </w:r>
      <w:proofErr w:type="gramStart"/>
      <w:r w:rsidR="002A4101">
        <w:t>a design</w:t>
      </w:r>
      <w:proofErr w:type="gramEnd"/>
      <w:r w:rsidR="002A4101">
        <w:t xml:space="preserve"> and shop drawings; preparing the site, including all necessary excavation and disposal of materials; supplying all necessary abutment anchorage components to produce a functional anchorage system; constructing the retaining system and providing </w:t>
      </w:r>
      <w:r w:rsidR="002A4101">
        <w:lastRenderedPageBreak/>
        <w:t>temporary drainage; providing backfill, backfilling, compacting, developing/completing/documenting the quality management program, and performing compaction testing.</w:t>
      </w:r>
    </w:p>
    <w:p w14:paraId="0169D7EC" w14:textId="0315F106" w:rsidR="0058694A" w:rsidRDefault="002A4101" w:rsidP="005D1F72">
      <w:pPr>
        <w:pStyle w:val="spVersion"/>
      </w:pPr>
      <w:proofErr w:type="gramStart"/>
      <w:r>
        <w:t>SPV.0090.xx</w:t>
      </w:r>
      <w:proofErr w:type="gramEnd"/>
      <w:r w:rsidR="0058694A">
        <w:t xml:space="preserve"> (</w:t>
      </w:r>
      <w:r>
        <w:t>20260519)</w:t>
      </w:r>
    </w:p>
    <w:p w14:paraId="5639A296" w14:textId="548D3593" w:rsidR="00CD6865" w:rsidRDefault="00CD6865" w:rsidP="00466B63">
      <w:pPr>
        <w:pStyle w:val="spParagraph"/>
      </w:pPr>
    </w:p>
    <w:sectPr w:rsidR="00CD6865" w:rsidSect="00137756">
      <w:footerReference w:type="default" r:id="rId14"/>
      <w:pgSz w:w="12240" w:h="15840"/>
      <w:pgMar w:top="720" w:right="1440" w:bottom="720" w:left="144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2D200" w14:textId="77777777" w:rsidR="00451EBE" w:rsidRDefault="00451EBE">
      <w:r>
        <w:separator/>
      </w:r>
    </w:p>
    <w:p w14:paraId="5BAF409C" w14:textId="77777777" w:rsidR="00451EBE" w:rsidRDefault="00451EBE"/>
    <w:p w14:paraId="6D4E8F30" w14:textId="77777777" w:rsidR="00451EBE" w:rsidRDefault="00451EBE"/>
    <w:p w14:paraId="79D82191" w14:textId="77777777" w:rsidR="00451EBE" w:rsidRDefault="00451EBE"/>
    <w:p w14:paraId="738C9EB3" w14:textId="77777777" w:rsidR="00451EBE" w:rsidRDefault="00451EBE"/>
    <w:p w14:paraId="74B12FF0" w14:textId="77777777" w:rsidR="00451EBE" w:rsidRDefault="00451EBE"/>
    <w:p w14:paraId="4C88EE37" w14:textId="77777777" w:rsidR="00451EBE" w:rsidRDefault="00451EBE"/>
    <w:p w14:paraId="3C27A0B4" w14:textId="77777777" w:rsidR="00451EBE" w:rsidRDefault="00451EBE"/>
    <w:p w14:paraId="574CE25F" w14:textId="77777777" w:rsidR="00451EBE" w:rsidRDefault="00451EBE"/>
  </w:endnote>
  <w:endnote w:type="continuationSeparator" w:id="0">
    <w:p w14:paraId="64F403CC" w14:textId="77777777" w:rsidR="00451EBE" w:rsidRDefault="00451EBE">
      <w:r>
        <w:continuationSeparator/>
      </w:r>
    </w:p>
    <w:p w14:paraId="00429622" w14:textId="77777777" w:rsidR="00451EBE" w:rsidRDefault="00451EBE"/>
    <w:p w14:paraId="158654D8" w14:textId="77777777" w:rsidR="00451EBE" w:rsidRDefault="00451EBE"/>
    <w:p w14:paraId="5D71A8AD" w14:textId="77777777" w:rsidR="00451EBE" w:rsidRDefault="00451EBE"/>
    <w:p w14:paraId="6C60E49F" w14:textId="77777777" w:rsidR="00451EBE" w:rsidRDefault="00451EBE"/>
    <w:p w14:paraId="5C2F89C4" w14:textId="77777777" w:rsidR="00451EBE" w:rsidRDefault="00451EBE"/>
    <w:p w14:paraId="26C51486" w14:textId="77777777" w:rsidR="00451EBE" w:rsidRDefault="00451EBE"/>
    <w:p w14:paraId="71B116DE" w14:textId="77777777" w:rsidR="00451EBE" w:rsidRDefault="00451EBE"/>
    <w:p w14:paraId="31C739B6" w14:textId="77777777" w:rsidR="00451EBE" w:rsidRDefault="00451EBE"/>
  </w:endnote>
  <w:endnote w:type="continuationNotice" w:id="1">
    <w:p w14:paraId="1CBD6540" w14:textId="77777777" w:rsidR="00451EBE" w:rsidRDefault="00451EBE"/>
    <w:p w14:paraId="28E20B03" w14:textId="77777777" w:rsidR="00451EBE" w:rsidRDefault="00451E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1EF2B" w14:textId="77777777" w:rsidR="004C6464" w:rsidRDefault="00000000" w:rsidP="00C75171">
    <w:pPr>
      <w:pStyle w:val="Footer"/>
      <w:tabs>
        <w:tab w:val="clear" w:pos="4680"/>
      </w:tabs>
    </w:pPr>
    <w:sdt>
      <w:sdtPr>
        <w:id w:val="1314444106"/>
        <w:showingPlcHdr/>
      </w:sdtPr>
      <w:sdtContent>
        <w:r w:rsidR="006163AB">
          <w:rPr>
            <w:rStyle w:val="PlaceholderText"/>
          </w:rPr>
          <w:t>Double click</w:t>
        </w:r>
        <w:r w:rsidR="006163AB" w:rsidRPr="00E03688">
          <w:rPr>
            <w:rStyle w:val="PlaceholderText"/>
          </w:rPr>
          <w:t xml:space="preserve"> here to enter </w:t>
        </w:r>
        <w:r w:rsidR="006163AB">
          <w:rPr>
            <w:rStyle w:val="PlaceholderText"/>
          </w:rPr>
          <w:t>Construction Ids separated by commas</w:t>
        </w:r>
        <w:r w:rsidR="006163AB" w:rsidRPr="00E03688">
          <w:rPr>
            <w:rStyle w:val="PlaceholderText"/>
          </w:rPr>
          <w:t>.</w:t>
        </w:r>
      </w:sdtContent>
    </w:sdt>
    <w:r w:rsidR="004C6464">
      <w:tab/>
    </w:r>
    <w:sdt>
      <w:sdtPr>
        <w:id w:val="1636681751"/>
        <w:docPartObj>
          <w:docPartGallery w:val="Page Numbers (Top of Page)"/>
          <w:docPartUnique/>
        </w:docPartObj>
      </w:sdtPr>
      <w:sdtContent>
        <w:r w:rsidR="004C6464">
          <w:fldChar w:fldCharType="begin"/>
        </w:r>
        <w:r w:rsidR="004C6464">
          <w:instrText xml:space="preserve"> PAGE </w:instrText>
        </w:r>
        <w:r w:rsidR="004C6464">
          <w:fldChar w:fldCharType="separate"/>
        </w:r>
        <w:r w:rsidR="0097013A">
          <w:rPr>
            <w:noProof/>
          </w:rPr>
          <w:t>2</w:t>
        </w:r>
        <w:r w:rsidR="004C6464">
          <w:rPr>
            <w:noProof/>
          </w:rPr>
          <w:fldChar w:fldCharType="end"/>
        </w:r>
        <w:r w:rsidR="004C6464">
          <w:t xml:space="preserve"> of </w:t>
        </w:r>
        <w:r w:rsidR="00E13598">
          <w:rPr>
            <w:noProof/>
          </w:rPr>
          <w:fldChar w:fldCharType="begin"/>
        </w:r>
        <w:r w:rsidR="00E13598">
          <w:rPr>
            <w:noProof/>
          </w:rPr>
          <w:instrText xml:space="preserve"> NUMPAGES  </w:instrText>
        </w:r>
        <w:r w:rsidR="00E13598">
          <w:rPr>
            <w:noProof/>
          </w:rPr>
          <w:fldChar w:fldCharType="separate"/>
        </w:r>
        <w:r w:rsidR="0097013A">
          <w:rPr>
            <w:noProof/>
          </w:rPr>
          <w:t>2</w:t>
        </w:r>
        <w:r w:rsidR="00E13598">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A9338" w14:textId="77777777" w:rsidR="00451EBE" w:rsidRDefault="00451EBE">
      <w:r>
        <w:separator/>
      </w:r>
    </w:p>
    <w:p w14:paraId="693E7633" w14:textId="77777777" w:rsidR="00451EBE" w:rsidRDefault="00451EBE"/>
    <w:p w14:paraId="1C497ED6" w14:textId="77777777" w:rsidR="00451EBE" w:rsidRDefault="00451EBE"/>
    <w:p w14:paraId="4A939854" w14:textId="77777777" w:rsidR="00451EBE" w:rsidRDefault="00451EBE"/>
    <w:p w14:paraId="1B47BE63" w14:textId="77777777" w:rsidR="00451EBE" w:rsidRDefault="00451EBE"/>
    <w:p w14:paraId="2A5F96B6" w14:textId="77777777" w:rsidR="00451EBE" w:rsidRDefault="00451EBE"/>
    <w:p w14:paraId="3025872E" w14:textId="77777777" w:rsidR="00451EBE" w:rsidRDefault="00451EBE"/>
    <w:p w14:paraId="2ABFB8FE" w14:textId="77777777" w:rsidR="00451EBE" w:rsidRDefault="00451EBE"/>
    <w:p w14:paraId="1828B47A" w14:textId="77777777" w:rsidR="00451EBE" w:rsidRDefault="00451EBE"/>
  </w:footnote>
  <w:footnote w:type="continuationSeparator" w:id="0">
    <w:p w14:paraId="63B8168A" w14:textId="77777777" w:rsidR="00451EBE" w:rsidRDefault="00451EBE">
      <w:r>
        <w:continuationSeparator/>
      </w:r>
    </w:p>
    <w:p w14:paraId="2845A957" w14:textId="77777777" w:rsidR="00451EBE" w:rsidRDefault="00451EBE"/>
    <w:p w14:paraId="137E3617" w14:textId="77777777" w:rsidR="00451EBE" w:rsidRDefault="00451EBE"/>
    <w:p w14:paraId="6BEDCEC5" w14:textId="77777777" w:rsidR="00451EBE" w:rsidRDefault="00451EBE"/>
    <w:p w14:paraId="1D22412C" w14:textId="77777777" w:rsidR="00451EBE" w:rsidRDefault="00451EBE"/>
    <w:p w14:paraId="462AF426" w14:textId="77777777" w:rsidR="00451EBE" w:rsidRDefault="00451EBE"/>
    <w:p w14:paraId="78E5345C" w14:textId="77777777" w:rsidR="00451EBE" w:rsidRDefault="00451EBE"/>
    <w:p w14:paraId="0C16B678" w14:textId="77777777" w:rsidR="00451EBE" w:rsidRDefault="00451EBE"/>
    <w:p w14:paraId="5E62D59C" w14:textId="77777777" w:rsidR="00451EBE" w:rsidRDefault="00451EBE"/>
  </w:footnote>
  <w:footnote w:type="continuationNotice" w:id="1">
    <w:p w14:paraId="5897018B" w14:textId="77777777" w:rsidR="00451EBE" w:rsidRDefault="00451EBE"/>
    <w:p w14:paraId="34230411" w14:textId="77777777" w:rsidR="00451EBE" w:rsidRDefault="00451EB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0D5E"/>
    <w:multiLevelType w:val="hybridMultilevel"/>
    <w:tmpl w:val="E8E8BA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256526"/>
    <w:multiLevelType w:val="hybridMultilevel"/>
    <w:tmpl w:val="1F42ADA2"/>
    <w:lvl w:ilvl="0" w:tplc="C5A26CE8">
      <w:start w:val="1"/>
      <w:numFmt w:val="decimal"/>
      <w:lvlText w:val="(%1)"/>
      <w:lvlJc w:val="right"/>
      <w:pPr>
        <w:ind w:left="1260" w:hanging="360"/>
      </w:pPr>
      <w:rPr>
        <w:rFonts w:hint="default"/>
        <w:b w:val="0"/>
        <w:bCs/>
        <w:vertAlign w:val="subscrip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02743867"/>
    <w:multiLevelType w:val="hybridMultilevel"/>
    <w:tmpl w:val="FC68C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B24679"/>
    <w:multiLevelType w:val="hybridMultilevel"/>
    <w:tmpl w:val="95FEC9C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0905471B"/>
    <w:multiLevelType w:val="hybridMultilevel"/>
    <w:tmpl w:val="22BCD51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C11105E"/>
    <w:multiLevelType w:val="hybridMultilevel"/>
    <w:tmpl w:val="354E5E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C2942BC"/>
    <w:multiLevelType w:val="hybridMultilevel"/>
    <w:tmpl w:val="E0F01B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1E270A"/>
    <w:multiLevelType w:val="hybridMultilevel"/>
    <w:tmpl w:val="B172E2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F35147D"/>
    <w:multiLevelType w:val="hybridMultilevel"/>
    <w:tmpl w:val="7D4A22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12038FD"/>
    <w:multiLevelType w:val="hybridMultilevel"/>
    <w:tmpl w:val="0A34DA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3C51E4D"/>
    <w:multiLevelType w:val="hybridMultilevel"/>
    <w:tmpl w:val="0CAEE50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4FE0BE7"/>
    <w:multiLevelType w:val="hybridMultilevel"/>
    <w:tmpl w:val="816459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EEF639C"/>
    <w:multiLevelType w:val="hybridMultilevel"/>
    <w:tmpl w:val="301641E0"/>
    <w:lvl w:ilvl="0" w:tplc="F13AD32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FBF2D1E"/>
    <w:multiLevelType w:val="hybridMultilevel"/>
    <w:tmpl w:val="8892EB3A"/>
    <w:lvl w:ilvl="0" w:tplc="C9902A7E">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20B20F45"/>
    <w:multiLevelType w:val="hybridMultilevel"/>
    <w:tmpl w:val="150010D2"/>
    <w:lvl w:ilvl="0" w:tplc="04090001">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5" w15:restartNumberingAfterBreak="0">
    <w:nsid w:val="21572E3E"/>
    <w:multiLevelType w:val="hybridMultilevel"/>
    <w:tmpl w:val="859879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740526"/>
    <w:multiLevelType w:val="hybridMultilevel"/>
    <w:tmpl w:val="68D64DA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17D5FAA"/>
    <w:multiLevelType w:val="hybridMultilevel"/>
    <w:tmpl w:val="AE069FC0"/>
    <w:lvl w:ilvl="0" w:tplc="0409000F">
      <w:start w:val="1"/>
      <w:numFmt w:val="bullet"/>
      <w:lvlText w:val=""/>
      <w:lvlJc w:val="left"/>
      <w:pPr>
        <w:ind w:left="1440" w:hanging="360"/>
      </w:pPr>
      <w:rPr>
        <w:rFonts w:ascii="Symbol" w:hAnsi="Symbol" w:hint="default"/>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18" w15:restartNumberingAfterBreak="0">
    <w:nsid w:val="24796B69"/>
    <w:multiLevelType w:val="hybridMultilevel"/>
    <w:tmpl w:val="E332ACC0"/>
    <w:lvl w:ilvl="0" w:tplc="04090001">
      <w:start w:val="1"/>
      <w:numFmt w:val="decimal"/>
      <w:lvlText w:val="%1."/>
      <w:lvlJc w:val="left"/>
      <w:pPr>
        <w:ind w:left="1440" w:hanging="360"/>
      </w:pPr>
    </w:lvl>
    <w:lvl w:ilvl="1" w:tplc="04090003" w:tentative="1">
      <w:start w:val="1"/>
      <w:numFmt w:val="lowerLetter"/>
      <w:lvlText w:val="%2."/>
      <w:lvlJc w:val="left"/>
      <w:pPr>
        <w:ind w:left="2160" w:hanging="360"/>
      </w:pPr>
    </w:lvl>
    <w:lvl w:ilvl="2" w:tplc="04090005" w:tentative="1">
      <w:start w:val="1"/>
      <w:numFmt w:val="lowerRoman"/>
      <w:lvlText w:val="%3."/>
      <w:lvlJc w:val="right"/>
      <w:pPr>
        <w:ind w:left="2880" w:hanging="180"/>
      </w:pPr>
    </w:lvl>
    <w:lvl w:ilvl="3" w:tplc="04090001" w:tentative="1">
      <w:start w:val="1"/>
      <w:numFmt w:val="decimal"/>
      <w:lvlText w:val="%4."/>
      <w:lvlJc w:val="left"/>
      <w:pPr>
        <w:ind w:left="3600" w:hanging="360"/>
      </w:pPr>
    </w:lvl>
    <w:lvl w:ilvl="4" w:tplc="04090003" w:tentative="1">
      <w:start w:val="1"/>
      <w:numFmt w:val="lowerLetter"/>
      <w:lvlText w:val="%5."/>
      <w:lvlJc w:val="left"/>
      <w:pPr>
        <w:ind w:left="4320" w:hanging="360"/>
      </w:pPr>
    </w:lvl>
    <w:lvl w:ilvl="5" w:tplc="04090005" w:tentative="1">
      <w:start w:val="1"/>
      <w:numFmt w:val="lowerRoman"/>
      <w:lvlText w:val="%6."/>
      <w:lvlJc w:val="right"/>
      <w:pPr>
        <w:ind w:left="5040" w:hanging="180"/>
      </w:pPr>
    </w:lvl>
    <w:lvl w:ilvl="6" w:tplc="04090001" w:tentative="1">
      <w:start w:val="1"/>
      <w:numFmt w:val="decimal"/>
      <w:lvlText w:val="%7."/>
      <w:lvlJc w:val="left"/>
      <w:pPr>
        <w:ind w:left="5760" w:hanging="360"/>
      </w:p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19" w15:restartNumberingAfterBreak="0">
    <w:nsid w:val="253345E8"/>
    <w:multiLevelType w:val="hybridMultilevel"/>
    <w:tmpl w:val="5358A7D0"/>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0" w15:restartNumberingAfterBreak="0">
    <w:nsid w:val="28BD2168"/>
    <w:multiLevelType w:val="hybridMultilevel"/>
    <w:tmpl w:val="72689ECC"/>
    <w:lvl w:ilvl="0" w:tplc="04090001">
      <w:start w:val="1"/>
      <w:numFmt w:val="lowerLetter"/>
      <w:lvlText w:val="%1."/>
      <w:lvlJc w:val="left"/>
      <w:pPr>
        <w:ind w:left="2160" w:hanging="360"/>
      </w:pPr>
    </w:lvl>
    <w:lvl w:ilvl="1" w:tplc="04090003" w:tentative="1">
      <w:start w:val="1"/>
      <w:numFmt w:val="lowerLetter"/>
      <w:lvlText w:val="%2."/>
      <w:lvlJc w:val="left"/>
      <w:pPr>
        <w:ind w:left="2880" w:hanging="360"/>
      </w:pPr>
    </w:lvl>
    <w:lvl w:ilvl="2" w:tplc="04090005" w:tentative="1">
      <w:start w:val="1"/>
      <w:numFmt w:val="lowerRoman"/>
      <w:lvlText w:val="%3."/>
      <w:lvlJc w:val="right"/>
      <w:pPr>
        <w:ind w:left="3600" w:hanging="180"/>
      </w:pPr>
    </w:lvl>
    <w:lvl w:ilvl="3" w:tplc="04090001" w:tentative="1">
      <w:start w:val="1"/>
      <w:numFmt w:val="decimal"/>
      <w:lvlText w:val="%4."/>
      <w:lvlJc w:val="left"/>
      <w:pPr>
        <w:ind w:left="4320" w:hanging="360"/>
      </w:pPr>
    </w:lvl>
    <w:lvl w:ilvl="4" w:tplc="04090003" w:tentative="1">
      <w:start w:val="1"/>
      <w:numFmt w:val="lowerLetter"/>
      <w:lvlText w:val="%5."/>
      <w:lvlJc w:val="left"/>
      <w:pPr>
        <w:ind w:left="5040" w:hanging="360"/>
      </w:pPr>
    </w:lvl>
    <w:lvl w:ilvl="5" w:tplc="04090005" w:tentative="1">
      <w:start w:val="1"/>
      <w:numFmt w:val="lowerRoman"/>
      <w:lvlText w:val="%6."/>
      <w:lvlJc w:val="right"/>
      <w:pPr>
        <w:ind w:left="5760" w:hanging="180"/>
      </w:pPr>
    </w:lvl>
    <w:lvl w:ilvl="6" w:tplc="04090001" w:tentative="1">
      <w:start w:val="1"/>
      <w:numFmt w:val="decimal"/>
      <w:lvlText w:val="%7."/>
      <w:lvlJc w:val="left"/>
      <w:pPr>
        <w:ind w:left="6480" w:hanging="360"/>
      </w:pPr>
    </w:lvl>
    <w:lvl w:ilvl="7" w:tplc="04090003" w:tentative="1">
      <w:start w:val="1"/>
      <w:numFmt w:val="lowerLetter"/>
      <w:lvlText w:val="%8."/>
      <w:lvlJc w:val="left"/>
      <w:pPr>
        <w:ind w:left="7200" w:hanging="360"/>
      </w:pPr>
    </w:lvl>
    <w:lvl w:ilvl="8" w:tplc="04090005" w:tentative="1">
      <w:start w:val="1"/>
      <w:numFmt w:val="lowerRoman"/>
      <w:lvlText w:val="%9."/>
      <w:lvlJc w:val="right"/>
      <w:pPr>
        <w:ind w:left="7920" w:hanging="180"/>
      </w:pPr>
    </w:lvl>
  </w:abstractNum>
  <w:abstractNum w:abstractNumId="21" w15:restartNumberingAfterBreak="0">
    <w:nsid w:val="2BD5542C"/>
    <w:multiLevelType w:val="hybridMultilevel"/>
    <w:tmpl w:val="C726740A"/>
    <w:lvl w:ilvl="0" w:tplc="04090019">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2" w15:restartNumberingAfterBreak="0">
    <w:nsid w:val="32F77BD7"/>
    <w:multiLevelType w:val="hybridMultilevel"/>
    <w:tmpl w:val="672C8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51648C2"/>
    <w:multiLevelType w:val="hybridMultilevel"/>
    <w:tmpl w:val="B808821C"/>
    <w:lvl w:ilvl="0" w:tplc="04090001">
      <w:start w:val="107"/>
      <w:numFmt w:val="bullet"/>
      <w:lvlText w:val=""/>
      <w:lvlJc w:val="left"/>
      <w:pPr>
        <w:ind w:left="1800" w:hanging="360"/>
      </w:pPr>
      <w:rPr>
        <w:rFonts w:ascii="Symbol" w:eastAsiaTheme="minorHAnsi"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3CE30E2E"/>
    <w:multiLevelType w:val="hybridMultilevel"/>
    <w:tmpl w:val="597E9A9E"/>
    <w:lvl w:ilvl="0" w:tplc="E1F29160">
      <w:start w:val="1"/>
      <w:numFmt w:val="decimal"/>
      <w:lvlText w:val="%1."/>
      <w:lvlJc w:val="left"/>
      <w:pPr>
        <w:ind w:left="1440" w:hanging="360"/>
      </w:pPr>
    </w:lvl>
    <w:lvl w:ilvl="1" w:tplc="04090003" w:tentative="1">
      <w:start w:val="1"/>
      <w:numFmt w:val="lowerLetter"/>
      <w:lvlText w:val="%2."/>
      <w:lvlJc w:val="left"/>
      <w:pPr>
        <w:ind w:left="2160" w:hanging="360"/>
      </w:pPr>
    </w:lvl>
    <w:lvl w:ilvl="2" w:tplc="04090005" w:tentative="1">
      <w:start w:val="1"/>
      <w:numFmt w:val="lowerRoman"/>
      <w:lvlText w:val="%3."/>
      <w:lvlJc w:val="right"/>
      <w:pPr>
        <w:ind w:left="2880" w:hanging="180"/>
      </w:pPr>
    </w:lvl>
    <w:lvl w:ilvl="3" w:tplc="04090001" w:tentative="1">
      <w:start w:val="1"/>
      <w:numFmt w:val="decimal"/>
      <w:lvlText w:val="%4."/>
      <w:lvlJc w:val="left"/>
      <w:pPr>
        <w:ind w:left="3600" w:hanging="360"/>
      </w:pPr>
    </w:lvl>
    <w:lvl w:ilvl="4" w:tplc="04090003" w:tentative="1">
      <w:start w:val="1"/>
      <w:numFmt w:val="lowerLetter"/>
      <w:lvlText w:val="%5."/>
      <w:lvlJc w:val="left"/>
      <w:pPr>
        <w:ind w:left="4320" w:hanging="360"/>
      </w:pPr>
    </w:lvl>
    <w:lvl w:ilvl="5" w:tplc="04090005" w:tentative="1">
      <w:start w:val="1"/>
      <w:numFmt w:val="lowerRoman"/>
      <w:lvlText w:val="%6."/>
      <w:lvlJc w:val="right"/>
      <w:pPr>
        <w:ind w:left="5040" w:hanging="180"/>
      </w:pPr>
    </w:lvl>
    <w:lvl w:ilvl="6" w:tplc="04090001" w:tentative="1">
      <w:start w:val="1"/>
      <w:numFmt w:val="decimal"/>
      <w:lvlText w:val="%7."/>
      <w:lvlJc w:val="left"/>
      <w:pPr>
        <w:ind w:left="5760" w:hanging="360"/>
      </w:p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25" w15:restartNumberingAfterBreak="0">
    <w:nsid w:val="3EAF01F0"/>
    <w:multiLevelType w:val="hybridMultilevel"/>
    <w:tmpl w:val="188AAB94"/>
    <w:lvl w:ilvl="0" w:tplc="0409000F">
      <w:start w:val="1"/>
      <w:numFmt w:val="decimal"/>
      <w:pStyle w:val="1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EFF7752"/>
    <w:multiLevelType w:val="hybridMultilevel"/>
    <w:tmpl w:val="BCBC09A8"/>
    <w:lvl w:ilvl="0" w:tplc="F584709E">
      <w:start w:val="1"/>
      <w:numFmt w:val="decimal"/>
      <w:lvlText w:val="%1."/>
      <w:lvlJc w:val="left"/>
      <w:pPr>
        <w:ind w:left="1440" w:hanging="360"/>
      </w:pPr>
    </w:lvl>
    <w:lvl w:ilvl="1" w:tplc="04090003">
      <w:start w:val="1"/>
      <w:numFmt w:val="lowerLetter"/>
      <w:lvlText w:val="%2."/>
      <w:lvlJc w:val="left"/>
      <w:pPr>
        <w:ind w:left="2160" w:hanging="360"/>
      </w:pPr>
    </w:lvl>
    <w:lvl w:ilvl="2" w:tplc="04090005" w:tentative="1">
      <w:start w:val="1"/>
      <w:numFmt w:val="lowerRoman"/>
      <w:lvlText w:val="%3."/>
      <w:lvlJc w:val="right"/>
      <w:pPr>
        <w:ind w:left="2880" w:hanging="180"/>
      </w:pPr>
    </w:lvl>
    <w:lvl w:ilvl="3" w:tplc="04090001" w:tentative="1">
      <w:start w:val="1"/>
      <w:numFmt w:val="decimal"/>
      <w:lvlText w:val="%4."/>
      <w:lvlJc w:val="left"/>
      <w:pPr>
        <w:ind w:left="3600" w:hanging="360"/>
      </w:pPr>
    </w:lvl>
    <w:lvl w:ilvl="4" w:tplc="04090003" w:tentative="1">
      <w:start w:val="1"/>
      <w:numFmt w:val="lowerLetter"/>
      <w:lvlText w:val="%5."/>
      <w:lvlJc w:val="left"/>
      <w:pPr>
        <w:ind w:left="4320" w:hanging="360"/>
      </w:pPr>
    </w:lvl>
    <w:lvl w:ilvl="5" w:tplc="04090005" w:tentative="1">
      <w:start w:val="1"/>
      <w:numFmt w:val="lowerRoman"/>
      <w:lvlText w:val="%6."/>
      <w:lvlJc w:val="right"/>
      <w:pPr>
        <w:ind w:left="5040" w:hanging="180"/>
      </w:pPr>
    </w:lvl>
    <w:lvl w:ilvl="6" w:tplc="04090001" w:tentative="1">
      <w:start w:val="1"/>
      <w:numFmt w:val="decimal"/>
      <w:lvlText w:val="%7."/>
      <w:lvlJc w:val="left"/>
      <w:pPr>
        <w:ind w:left="5760" w:hanging="360"/>
      </w:p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27" w15:restartNumberingAfterBreak="0">
    <w:nsid w:val="46090F54"/>
    <w:multiLevelType w:val="hybridMultilevel"/>
    <w:tmpl w:val="5B4278A2"/>
    <w:lvl w:ilvl="0" w:tplc="04090001">
      <w:start w:val="1"/>
      <w:numFmt w:val="decimal"/>
      <w:lvlText w:val="%1."/>
      <w:lvlJc w:val="left"/>
      <w:pPr>
        <w:ind w:left="1440" w:hanging="360"/>
      </w:pPr>
    </w:lvl>
    <w:lvl w:ilvl="1" w:tplc="04090003" w:tentative="1">
      <w:start w:val="1"/>
      <w:numFmt w:val="lowerLetter"/>
      <w:lvlText w:val="%2."/>
      <w:lvlJc w:val="left"/>
      <w:pPr>
        <w:ind w:left="2160" w:hanging="360"/>
      </w:pPr>
    </w:lvl>
    <w:lvl w:ilvl="2" w:tplc="04090005" w:tentative="1">
      <w:start w:val="1"/>
      <w:numFmt w:val="lowerRoman"/>
      <w:lvlText w:val="%3."/>
      <w:lvlJc w:val="right"/>
      <w:pPr>
        <w:ind w:left="2880" w:hanging="180"/>
      </w:pPr>
    </w:lvl>
    <w:lvl w:ilvl="3" w:tplc="04090001" w:tentative="1">
      <w:start w:val="1"/>
      <w:numFmt w:val="decimal"/>
      <w:lvlText w:val="%4."/>
      <w:lvlJc w:val="left"/>
      <w:pPr>
        <w:ind w:left="3600" w:hanging="360"/>
      </w:pPr>
    </w:lvl>
    <w:lvl w:ilvl="4" w:tplc="04090003" w:tentative="1">
      <w:start w:val="1"/>
      <w:numFmt w:val="lowerLetter"/>
      <w:lvlText w:val="%5."/>
      <w:lvlJc w:val="left"/>
      <w:pPr>
        <w:ind w:left="4320" w:hanging="360"/>
      </w:pPr>
    </w:lvl>
    <w:lvl w:ilvl="5" w:tplc="04090005" w:tentative="1">
      <w:start w:val="1"/>
      <w:numFmt w:val="lowerRoman"/>
      <w:lvlText w:val="%6."/>
      <w:lvlJc w:val="right"/>
      <w:pPr>
        <w:ind w:left="5040" w:hanging="180"/>
      </w:pPr>
    </w:lvl>
    <w:lvl w:ilvl="6" w:tplc="04090001" w:tentative="1">
      <w:start w:val="1"/>
      <w:numFmt w:val="decimal"/>
      <w:lvlText w:val="%7."/>
      <w:lvlJc w:val="left"/>
      <w:pPr>
        <w:ind w:left="5760" w:hanging="360"/>
      </w:p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28" w15:restartNumberingAfterBreak="0">
    <w:nsid w:val="49ED3D6B"/>
    <w:multiLevelType w:val="hybridMultilevel"/>
    <w:tmpl w:val="D50248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B152471"/>
    <w:multiLevelType w:val="hybridMultilevel"/>
    <w:tmpl w:val="04BC033E"/>
    <w:lvl w:ilvl="0" w:tplc="AE625638">
      <w:start w:val="1"/>
      <w:numFmt w:val="decimal"/>
      <w:lvlText w:val="(%1)"/>
      <w:lvlJc w:val="right"/>
      <w:pPr>
        <w:ind w:left="2610" w:hanging="360"/>
      </w:pPr>
      <w:rPr>
        <w:rFonts w:hint="default"/>
        <w:b w:val="0"/>
        <w:bCs/>
        <w:vertAlign w:val="subscrip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E0600FB"/>
    <w:multiLevelType w:val="hybridMultilevel"/>
    <w:tmpl w:val="93243860"/>
    <w:lvl w:ilvl="0" w:tplc="0409000F">
      <w:start w:val="1"/>
      <w:numFmt w:val="bullet"/>
      <w:pStyle w:val="ListParagraph"/>
      <w:lvlText w:val=""/>
      <w:lvlJc w:val="left"/>
      <w:pPr>
        <w:ind w:left="1440" w:hanging="360"/>
      </w:pPr>
      <w:rPr>
        <w:rFonts w:ascii="Symbol" w:hAnsi="Symbol" w:hint="default"/>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31" w15:restartNumberingAfterBreak="0">
    <w:nsid w:val="4FC209A3"/>
    <w:multiLevelType w:val="hybridMultilevel"/>
    <w:tmpl w:val="E3561E4A"/>
    <w:lvl w:ilvl="0" w:tplc="2438E67C">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2" w15:restartNumberingAfterBreak="0">
    <w:nsid w:val="504B20D2"/>
    <w:multiLevelType w:val="hybridMultilevel"/>
    <w:tmpl w:val="7CC2C4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0F7509B"/>
    <w:multiLevelType w:val="hybridMultilevel"/>
    <w:tmpl w:val="0E5C4B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1113A4A"/>
    <w:multiLevelType w:val="hybridMultilevel"/>
    <w:tmpl w:val="EE0CF9F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16851BC"/>
    <w:multiLevelType w:val="hybridMultilevel"/>
    <w:tmpl w:val="A5D0A186"/>
    <w:lvl w:ilvl="0" w:tplc="B18CB690">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6" w15:restartNumberingAfterBreak="0">
    <w:nsid w:val="51DB756A"/>
    <w:multiLevelType w:val="hybridMultilevel"/>
    <w:tmpl w:val="0CAEE5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28A2F1F"/>
    <w:multiLevelType w:val="hybridMultilevel"/>
    <w:tmpl w:val="68EC91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4A1774E"/>
    <w:multiLevelType w:val="hybridMultilevel"/>
    <w:tmpl w:val="8DE618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562C1290"/>
    <w:multiLevelType w:val="hybridMultilevel"/>
    <w:tmpl w:val="451A7436"/>
    <w:lvl w:ilvl="0" w:tplc="DFCE9A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87F4E28"/>
    <w:multiLevelType w:val="hybridMultilevel"/>
    <w:tmpl w:val="56C6472C"/>
    <w:lvl w:ilvl="0" w:tplc="04090001">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1" w15:restartNumberingAfterBreak="0">
    <w:nsid w:val="59C63890"/>
    <w:multiLevelType w:val="hybridMultilevel"/>
    <w:tmpl w:val="4CFE1A54"/>
    <w:lvl w:ilvl="0" w:tplc="0409000F">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5B9660C5"/>
    <w:multiLevelType w:val="hybridMultilevel"/>
    <w:tmpl w:val="4554255C"/>
    <w:lvl w:ilvl="0" w:tplc="0409000F">
      <w:start w:val="1"/>
      <w:numFmt w:val="bullet"/>
      <w:lvlText w:val=""/>
      <w:lvlJc w:val="left"/>
      <w:pPr>
        <w:ind w:left="1440" w:hanging="360"/>
      </w:pPr>
      <w:rPr>
        <w:rFonts w:ascii="Symbol" w:hAnsi="Symbol" w:hint="default"/>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43" w15:restartNumberingAfterBreak="0">
    <w:nsid w:val="5E7E6427"/>
    <w:multiLevelType w:val="hybridMultilevel"/>
    <w:tmpl w:val="D8361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FCE1F02"/>
    <w:multiLevelType w:val="hybridMultilevel"/>
    <w:tmpl w:val="A104A0A6"/>
    <w:lvl w:ilvl="0" w:tplc="04090001">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5" w15:restartNumberingAfterBreak="0">
    <w:nsid w:val="616231B9"/>
    <w:multiLevelType w:val="hybridMultilevel"/>
    <w:tmpl w:val="6BE0D392"/>
    <w:lvl w:ilvl="0" w:tplc="783AEAA0">
      <w:start w:val="1"/>
      <w:numFmt w:val="decimal"/>
      <w:lvlText w:val="%1."/>
      <w:lvlJc w:val="left"/>
      <w:pPr>
        <w:ind w:left="735" w:hanging="360"/>
      </w:pPr>
    </w:lvl>
    <w:lvl w:ilvl="1" w:tplc="04090003" w:tentative="1">
      <w:start w:val="1"/>
      <w:numFmt w:val="lowerLetter"/>
      <w:lvlText w:val="%2."/>
      <w:lvlJc w:val="left"/>
      <w:pPr>
        <w:ind w:left="1455" w:hanging="360"/>
      </w:pPr>
    </w:lvl>
    <w:lvl w:ilvl="2" w:tplc="04090005" w:tentative="1">
      <w:start w:val="1"/>
      <w:numFmt w:val="lowerRoman"/>
      <w:lvlText w:val="%3."/>
      <w:lvlJc w:val="right"/>
      <w:pPr>
        <w:ind w:left="2175" w:hanging="180"/>
      </w:pPr>
    </w:lvl>
    <w:lvl w:ilvl="3" w:tplc="04090001" w:tentative="1">
      <w:start w:val="1"/>
      <w:numFmt w:val="decimal"/>
      <w:lvlText w:val="%4."/>
      <w:lvlJc w:val="left"/>
      <w:pPr>
        <w:ind w:left="2895" w:hanging="360"/>
      </w:pPr>
    </w:lvl>
    <w:lvl w:ilvl="4" w:tplc="04090003" w:tentative="1">
      <w:start w:val="1"/>
      <w:numFmt w:val="lowerLetter"/>
      <w:lvlText w:val="%5."/>
      <w:lvlJc w:val="left"/>
      <w:pPr>
        <w:ind w:left="3615" w:hanging="360"/>
      </w:pPr>
    </w:lvl>
    <w:lvl w:ilvl="5" w:tplc="04090005" w:tentative="1">
      <w:start w:val="1"/>
      <w:numFmt w:val="lowerRoman"/>
      <w:lvlText w:val="%6."/>
      <w:lvlJc w:val="right"/>
      <w:pPr>
        <w:ind w:left="4335" w:hanging="180"/>
      </w:pPr>
    </w:lvl>
    <w:lvl w:ilvl="6" w:tplc="04090001" w:tentative="1">
      <w:start w:val="1"/>
      <w:numFmt w:val="decimal"/>
      <w:lvlText w:val="%7."/>
      <w:lvlJc w:val="left"/>
      <w:pPr>
        <w:ind w:left="5055" w:hanging="360"/>
      </w:pPr>
    </w:lvl>
    <w:lvl w:ilvl="7" w:tplc="04090003" w:tentative="1">
      <w:start w:val="1"/>
      <w:numFmt w:val="lowerLetter"/>
      <w:lvlText w:val="%8."/>
      <w:lvlJc w:val="left"/>
      <w:pPr>
        <w:ind w:left="5775" w:hanging="360"/>
      </w:pPr>
    </w:lvl>
    <w:lvl w:ilvl="8" w:tplc="04090005" w:tentative="1">
      <w:start w:val="1"/>
      <w:numFmt w:val="lowerRoman"/>
      <w:lvlText w:val="%9."/>
      <w:lvlJc w:val="right"/>
      <w:pPr>
        <w:ind w:left="6495" w:hanging="180"/>
      </w:pPr>
    </w:lvl>
  </w:abstractNum>
  <w:abstractNum w:abstractNumId="46" w15:restartNumberingAfterBreak="0">
    <w:nsid w:val="66563F3B"/>
    <w:multiLevelType w:val="hybridMultilevel"/>
    <w:tmpl w:val="5F440A80"/>
    <w:lvl w:ilvl="0" w:tplc="358A39AE">
      <w:start w:val="1"/>
      <w:numFmt w:val="decimal"/>
      <w:lvlText w:val="(%1)"/>
      <w:lvlJc w:val="right"/>
      <w:pPr>
        <w:ind w:left="1530" w:hanging="360"/>
      </w:pPr>
      <w:rPr>
        <w:rFonts w:hint="default"/>
        <w:b w:val="0"/>
        <w:bCs/>
        <w:vertAlign w:val="subscrip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7" w15:restartNumberingAfterBreak="0">
    <w:nsid w:val="66F9382E"/>
    <w:multiLevelType w:val="hybridMultilevel"/>
    <w:tmpl w:val="D6284C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67934533"/>
    <w:multiLevelType w:val="hybridMultilevel"/>
    <w:tmpl w:val="77928712"/>
    <w:lvl w:ilvl="0" w:tplc="0409000F">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6C8500CD"/>
    <w:multiLevelType w:val="hybridMultilevel"/>
    <w:tmpl w:val="C6541BB0"/>
    <w:lvl w:ilvl="0" w:tplc="3AD45EA8">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769D4060"/>
    <w:multiLevelType w:val="hybridMultilevel"/>
    <w:tmpl w:val="FCEA3CC8"/>
    <w:lvl w:ilvl="0" w:tplc="0409000F">
      <w:start w:val="1"/>
      <w:numFmt w:val="lowerLetter"/>
      <w:lvlText w:val="%1."/>
      <w:lvlJc w:val="lef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1" w15:restartNumberingAfterBreak="0">
    <w:nsid w:val="7EAD785E"/>
    <w:multiLevelType w:val="hybridMultilevel"/>
    <w:tmpl w:val="91A01D6E"/>
    <w:lvl w:ilvl="0" w:tplc="5AA25900">
      <w:start w:val="1"/>
      <w:numFmt w:val="decimal"/>
      <w:lvlText w:val="(%1)"/>
      <w:lvlJc w:val="right"/>
      <w:pPr>
        <w:ind w:left="1080" w:hanging="360"/>
      </w:pPr>
      <w:rPr>
        <w:rFonts w:hint="default"/>
        <w:b w:val="0"/>
        <w:bCs/>
        <w:vertAlign w:val="subscrip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47202005">
    <w:abstractNumId w:val="25"/>
  </w:num>
  <w:num w:numId="2" w16cid:durableId="858007954">
    <w:abstractNumId w:val="34"/>
  </w:num>
  <w:num w:numId="3" w16cid:durableId="139617973">
    <w:abstractNumId w:val="44"/>
  </w:num>
  <w:num w:numId="4" w16cid:durableId="574970833">
    <w:abstractNumId w:val="18"/>
  </w:num>
  <w:num w:numId="5" w16cid:durableId="855190076">
    <w:abstractNumId w:val="49"/>
  </w:num>
  <w:num w:numId="6" w16cid:durableId="330723905">
    <w:abstractNumId w:val="48"/>
  </w:num>
  <w:num w:numId="7" w16cid:durableId="1091318689">
    <w:abstractNumId w:val="20"/>
  </w:num>
  <w:num w:numId="8" w16cid:durableId="1477068699">
    <w:abstractNumId w:val="50"/>
  </w:num>
  <w:num w:numId="9" w16cid:durableId="529732183">
    <w:abstractNumId w:val="21"/>
  </w:num>
  <w:num w:numId="10" w16cid:durableId="1061904073">
    <w:abstractNumId w:val="35"/>
  </w:num>
  <w:num w:numId="11" w16cid:durableId="225535519">
    <w:abstractNumId w:val="38"/>
  </w:num>
  <w:num w:numId="12" w16cid:durableId="2025666066">
    <w:abstractNumId w:val="5"/>
  </w:num>
  <w:num w:numId="13" w16cid:durableId="1173647326">
    <w:abstractNumId w:val="33"/>
  </w:num>
  <w:num w:numId="14" w16cid:durableId="42557279">
    <w:abstractNumId w:val="24"/>
  </w:num>
  <w:num w:numId="15" w16cid:durableId="1587764993">
    <w:abstractNumId w:val="3"/>
  </w:num>
  <w:num w:numId="16" w16cid:durableId="1368719564">
    <w:abstractNumId w:val="27"/>
  </w:num>
  <w:num w:numId="17" w16cid:durableId="461505247">
    <w:abstractNumId w:val="22"/>
  </w:num>
  <w:num w:numId="18" w16cid:durableId="465976029">
    <w:abstractNumId w:val="19"/>
  </w:num>
  <w:num w:numId="19" w16cid:durableId="1273973428">
    <w:abstractNumId w:val="8"/>
  </w:num>
  <w:num w:numId="20" w16cid:durableId="63963613">
    <w:abstractNumId w:val="12"/>
  </w:num>
  <w:num w:numId="21" w16cid:durableId="1567259620">
    <w:abstractNumId w:val="6"/>
  </w:num>
  <w:num w:numId="22" w16cid:durableId="294989175">
    <w:abstractNumId w:val="2"/>
  </w:num>
  <w:num w:numId="23" w16cid:durableId="220480475">
    <w:abstractNumId w:val="43"/>
  </w:num>
  <w:num w:numId="24" w16cid:durableId="2122994050">
    <w:abstractNumId w:val="42"/>
  </w:num>
  <w:num w:numId="25" w16cid:durableId="796341314">
    <w:abstractNumId w:val="30"/>
  </w:num>
  <w:num w:numId="26" w16cid:durableId="422267211">
    <w:abstractNumId w:val="16"/>
  </w:num>
  <w:num w:numId="27" w16cid:durableId="207449928">
    <w:abstractNumId w:val="26"/>
  </w:num>
  <w:num w:numId="28" w16cid:durableId="1440488270">
    <w:abstractNumId w:val="23"/>
  </w:num>
  <w:num w:numId="29" w16cid:durableId="1949044014">
    <w:abstractNumId w:val="41"/>
  </w:num>
  <w:num w:numId="30" w16cid:durableId="1913006806">
    <w:abstractNumId w:val="17"/>
  </w:num>
  <w:num w:numId="31" w16cid:durableId="988097570">
    <w:abstractNumId w:val="47"/>
  </w:num>
  <w:num w:numId="32" w16cid:durableId="805658490">
    <w:abstractNumId w:val="4"/>
  </w:num>
  <w:num w:numId="33" w16cid:durableId="1659571915">
    <w:abstractNumId w:val="7"/>
  </w:num>
  <w:num w:numId="34" w16cid:durableId="1942570979">
    <w:abstractNumId w:val="9"/>
  </w:num>
  <w:num w:numId="35" w16cid:durableId="145561640">
    <w:abstractNumId w:val="32"/>
  </w:num>
  <w:num w:numId="36" w16cid:durableId="733552440">
    <w:abstractNumId w:val="31"/>
  </w:num>
  <w:num w:numId="37" w16cid:durableId="465978164">
    <w:abstractNumId w:val="40"/>
  </w:num>
  <w:num w:numId="38" w16cid:durableId="1275820206">
    <w:abstractNumId w:val="15"/>
  </w:num>
  <w:num w:numId="39" w16cid:durableId="2061704588">
    <w:abstractNumId w:val="45"/>
  </w:num>
  <w:num w:numId="40" w16cid:durableId="1120802529">
    <w:abstractNumId w:val="0"/>
  </w:num>
  <w:num w:numId="41" w16cid:durableId="1334065791">
    <w:abstractNumId w:val="14"/>
  </w:num>
  <w:num w:numId="42" w16cid:durableId="448401174">
    <w:abstractNumId w:val="28"/>
  </w:num>
  <w:num w:numId="43" w16cid:durableId="565918049">
    <w:abstractNumId w:val="11"/>
  </w:num>
  <w:num w:numId="44" w16cid:durableId="1385442355">
    <w:abstractNumId w:val="39"/>
  </w:num>
  <w:num w:numId="45" w16cid:durableId="378558120">
    <w:abstractNumId w:val="25"/>
  </w:num>
  <w:num w:numId="46" w16cid:durableId="698507073">
    <w:abstractNumId w:val="30"/>
  </w:num>
  <w:num w:numId="47" w16cid:durableId="188375390">
    <w:abstractNumId w:val="25"/>
  </w:num>
  <w:num w:numId="48" w16cid:durableId="609973160">
    <w:abstractNumId w:val="30"/>
  </w:num>
  <w:num w:numId="49" w16cid:durableId="4611163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735003549">
    <w:abstractNumId w:val="25"/>
  </w:num>
  <w:num w:numId="51" w16cid:durableId="12067220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112771364">
    <w:abstractNumId w:val="37"/>
  </w:num>
  <w:num w:numId="53" w16cid:durableId="1818104909">
    <w:abstractNumId w:val="36"/>
  </w:num>
  <w:num w:numId="54" w16cid:durableId="1713261470">
    <w:abstractNumId w:val="46"/>
  </w:num>
  <w:num w:numId="55" w16cid:durableId="903099151">
    <w:abstractNumId w:val="51"/>
  </w:num>
  <w:num w:numId="56" w16cid:durableId="463353958">
    <w:abstractNumId w:val="29"/>
  </w:num>
  <w:num w:numId="57" w16cid:durableId="97993553">
    <w:abstractNumId w:val="1"/>
  </w:num>
  <w:num w:numId="58" w16cid:durableId="974263541">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94A"/>
    <w:rsid w:val="00000772"/>
    <w:rsid w:val="00002A93"/>
    <w:rsid w:val="00002E61"/>
    <w:rsid w:val="000037EB"/>
    <w:rsid w:val="00011479"/>
    <w:rsid w:val="00011A38"/>
    <w:rsid w:val="0001243B"/>
    <w:rsid w:val="000138C0"/>
    <w:rsid w:val="00014FC5"/>
    <w:rsid w:val="00015CAF"/>
    <w:rsid w:val="00020B85"/>
    <w:rsid w:val="000236A1"/>
    <w:rsid w:val="00025F98"/>
    <w:rsid w:val="000278B0"/>
    <w:rsid w:val="00027F90"/>
    <w:rsid w:val="00030E0D"/>
    <w:rsid w:val="0003239F"/>
    <w:rsid w:val="00034B1B"/>
    <w:rsid w:val="00044827"/>
    <w:rsid w:val="000458A6"/>
    <w:rsid w:val="00046EA4"/>
    <w:rsid w:val="00053AD8"/>
    <w:rsid w:val="00053D1C"/>
    <w:rsid w:val="0006236D"/>
    <w:rsid w:val="0006267D"/>
    <w:rsid w:val="00062AB2"/>
    <w:rsid w:val="00063A78"/>
    <w:rsid w:val="00066DCE"/>
    <w:rsid w:val="00067275"/>
    <w:rsid w:val="0007131C"/>
    <w:rsid w:val="000717FC"/>
    <w:rsid w:val="00082D55"/>
    <w:rsid w:val="00083103"/>
    <w:rsid w:val="00085D86"/>
    <w:rsid w:val="00093EE3"/>
    <w:rsid w:val="000A47BF"/>
    <w:rsid w:val="000B1658"/>
    <w:rsid w:val="000B29D1"/>
    <w:rsid w:val="000B2D96"/>
    <w:rsid w:val="000B6EC1"/>
    <w:rsid w:val="000B77FC"/>
    <w:rsid w:val="000B780E"/>
    <w:rsid w:val="000B7F6B"/>
    <w:rsid w:val="000C32DA"/>
    <w:rsid w:val="000D4880"/>
    <w:rsid w:val="000D4996"/>
    <w:rsid w:val="000D5560"/>
    <w:rsid w:val="000D5BC0"/>
    <w:rsid w:val="000E37E9"/>
    <w:rsid w:val="000F2A17"/>
    <w:rsid w:val="000F2E20"/>
    <w:rsid w:val="00100222"/>
    <w:rsid w:val="00101FA4"/>
    <w:rsid w:val="00102FF2"/>
    <w:rsid w:val="00103A73"/>
    <w:rsid w:val="0011221F"/>
    <w:rsid w:val="00115680"/>
    <w:rsid w:val="0011750B"/>
    <w:rsid w:val="00120633"/>
    <w:rsid w:val="00120863"/>
    <w:rsid w:val="00124384"/>
    <w:rsid w:val="00125F1A"/>
    <w:rsid w:val="001266AD"/>
    <w:rsid w:val="00131A82"/>
    <w:rsid w:val="00134F9B"/>
    <w:rsid w:val="00137756"/>
    <w:rsid w:val="0014211B"/>
    <w:rsid w:val="001457F1"/>
    <w:rsid w:val="00151BC1"/>
    <w:rsid w:val="00157F82"/>
    <w:rsid w:val="00162B86"/>
    <w:rsid w:val="00186A0E"/>
    <w:rsid w:val="00192164"/>
    <w:rsid w:val="001A6E10"/>
    <w:rsid w:val="001A76A9"/>
    <w:rsid w:val="001B0285"/>
    <w:rsid w:val="001B0816"/>
    <w:rsid w:val="001B0FF5"/>
    <w:rsid w:val="001B20FA"/>
    <w:rsid w:val="001B49B0"/>
    <w:rsid w:val="001B59AC"/>
    <w:rsid w:val="001B5A2E"/>
    <w:rsid w:val="001B79E4"/>
    <w:rsid w:val="001C0E8C"/>
    <w:rsid w:val="001C4CCC"/>
    <w:rsid w:val="001C576D"/>
    <w:rsid w:val="001C6E1A"/>
    <w:rsid w:val="001C739C"/>
    <w:rsid w:val="001D1772"/>
    <w:rsid w:val="001E3034"/>
    <w:rsid w:val="001E786E"/>
    <w:rsid w:val="001E7C66"/>
    <w:rsid w:val="001F20F7"/>
    <w:rsid w:val="001F6C67"/>
    <w:rsid w:val="0020101D"/>
    <w:rsid w:val="002050FE"/>
    <w:rsid w:val="00205814"/>
    <w:rsid w:val="002125F9"/>
    <w:rsid w:val="00212D36"/>
    <w:rsid w:val="00214633"/>
    <w:rsid w:val="00222521"/>
    <w:rsid w:val="00225C70"/>
    <w:rsid w:val="002272C0"/>
    <w:rsid w:val="00230163"/>
    <w:rsid w:val="00230E8F"/>
    <w:rsid w:val="00232B4C"/>
    <w:rsid w:val="00235549"/>
    <w:rsid w:val="002359DE"/>
    <w:rsid w:val="002372A2"/>
    <w:rsid w:val="00241B4E"/>
    <w:rsid w:val="00247880"/>
    <w:rsid w:val="00247A22"/>
    <w:rsid w:val="002523D9"/>
    <w:rsid w:val="0025299A"/>
    <w:rsid w:val="00254E2F"/>
    <w:rsid w:val="00262ED6"/>
    <w:rsid w:val="00263AA0"/>
    <w:rsid w:val="00265243"/>
    <w:rsid w:val="00265AED"/>
    <w:rsid w:val="00267E55"/>
    <w:rsid w:val="00275B6C"/>
    <w:rsid w:val="002814F0"/>
    <w:rsid w:val="00281623"/>
    <w:rsid w:val="0028213F"/>
    <w:rsid w:val="00284723"/>
    <w:rsid w:val="00286731"/>
    <w:rsid w:val="002877A8"/>
    <w:rsid w:val="002A0473"/>
    <w:rsid w:val="002A3078"/>
    <w:rsid w:val="002A3E7E"/>
    <w:rsid w:val="002A4101"/>
    <w:rsid w:val="002A6E1A"/>
    <w:rsid w:val="002A6E3F"/>
    <w:rsid w:val="002B371C"/>
    <w:rsid w:val="002B4A57"/>
    <w:rsid w:val="002B7D6B"/>
    <w:rsid w:val="002C4750"/>
    <w:rsid w:val="002C4A81"/>
    <w:rsid w:val="002D021E"/>
    <w:rsid w:val="002D0B91"/>
    <w:rsid w:val="002D3444"/>
    <w:rsid w:val="002D387A"/>
    <w:rsid w:val="002D55FE"/>
    <w:rsid w:val="002D61F0"/>
    <w:rsid w:val="002E2855"/>
    <w:rsid w:val="002F116F"/>
    <w:rsid w:val="002F1881"/>
    <w:rsid w:val="002F59DD"/>
    <w:rsid w:val="002F5A72"/>
    <w:rsid w:val="002F7F32"/>
    <w:rsid w:val="00300A79"/>
    <w:rsid w:val="00305CFD"/>
    <w:rsid w:val="00307E0B"/>
    <w:rsid w:val="00310212"/>
    <w:rsid w:val="00311FAB"/>
    <w:rsid w:val="00314F91"/>
    <w:rsid w:val="003153F7"/>
    <w:rsid w:val="00316E79"/>
    <w:rsid w:val="0032097E"/>
    <w:rsid w:val="00323052"/>
    <w:rsid w:val="003301F3"/>
    <w:rsid w:val="00333AD1"/>
    <w:rsid w:val="00335842"/>
    <w:rsid w:val="00335D85"/>
    <w:rsid w:val="00337554"/>
    <w:rsid w:val="00340346"/>
    <w:rsid w:val="00340556"/>
    <w:rsid w:val="00342BF1"/>
    <w:rsid w:val="00345D0F"/>
    <w:rsid w:val="0035009B"/>
    <w:rsid w:val="003543EA"/>
    <w:rsid w:val="00355C6E"/>
    <w:rsid w:val="00355E25"/>
    <w:rsid w:val="0035681E"/>
    <w:rsid w:val="00357B06"/>
    <w:rsid w:val="00367712"/>
    <w:rsid w:val="003677A3"/>
    <w:rsid w:val="00370B3F"/>
    <w:rsid w:val="00374705"/>
    <w:rsid w:val="00377378"/>
    <w:rsid w:val="0038087B"/>
    <w:rsid w:val="00382724"/>
    <w:rsid w:val="0038330D"/>
    <w:rsid w:val="003841BC"/>
    <w:rsid w:val="003851E6"/>
    <w:rsid w:val="00385427"/>
    <w:rsid w:val="0039322B"/>
    <w:rsid w:val="00396A8D"/>
    <w:rsid w:val="00397A88"/>
    <w:rsid w:val="003A37E8"/>
    <w:rsid w:val="003A37EF"/>
    <w:rsid w:val="003A3C00"/>
    <w:rsid w:val="003A444B"/>
    <w:rsid w:val="003A5CD0"/>
    <w:rsid w:val="003B065A"/>
    <w:rsid w:val="003B4868"/>
    <w:rsid w:val="003C4724"/>
    <w:rsid w:val="003C5754"/>
    <w:rsid w:val="003D1F52"/>
    <w:rsid w:val="003D3B59"/>
    <w:rsid w:val="003D7523"/>
    <w:rsid w:val="003E180A"/>
    <w:rsid w:val="003E24AE"/>
    <w:rsid w:val="003E3C01"/>
    <w:rsid w:val="003E665E"/>
    <w:rsid w:val="003F23A0"/>
    <w:rsid w:val="003F24C8"/>
    <w:rsid w:val="003F524B"/>
    <w:rsid w:val="0040354B"/>
    <w:rsid w:val="00403A9B"/>
    <w:rsid w:val="0041338A"/>
    <w:rsid w:val="004166A9"/>
    <w:rsid w:val="00426E0A"/>
    <w:rsid w:val="00434920"/>
    <w:rsid w:val="0044180E"/>
    <w:rsid w:val="004447A9"/>
    <w:rsid w:val="00447AED"/>
    <w:rsid w:val="00451EBE"/>
    <w:rsid w:val="00452878"/>
    <w:rsid w:val="00461982"/>
    <w:rsid w:val="00464564"/>
    <w:rsid w:val="00466B63"/>
    <w:rsid w:val="00466D84"/>
    <w:rsid w:val="004723BE"/>
    <w:rsid w:val="004765F9"/>
    <w:rsid w:val="00477CD1"/>
    <w:rsid w:val="00477D62"/>
    <w:rsid w:val="00482102"/>
    <w:rsid w:val="00493163"/>
    <w:rsid w:val="00493D46"/>
    <w:rsid w:val="004A043B"/>
    <w:rsid w:val="004A05C1"/>
    <w:rsid w:val="004A1944"/>
    <w:rsid w:val="004A4D9D"/>
    <w:rsid w:val="004A55C7"/>
    <w:rsid w:val="004B0B01"/>
    <w:rsid w:val="004B3AD4"/>
    <w:rsid w:val="004B4348"/>
    <w:rsid w:val="004B5A72"/>
    <w:rsid w:val="004B5AB3"/>
    <w:rsid w:val="004B5EFF"/>
    <w:rsid w:val="004C162A"/>
    <w:rsid w:val="004C17A7"/>
    <w:rsid w:val="004C4581"/>
    <w:rsid w:val="004C55EC"/>
    <w:rsid w:val="004C587B"/>
    <w:rsid w:val="004C6142"/>
    <w:rsid w:val="004C6464"/>
    <w:rsid w:val="004C73B4"/>
    <w:rsid w:val="004D12AF"/>
    <w:rsid w:val="004D378F"/>
    <w:rsid w:val="004D5797"/>
    <w:rsid w:val="004D5961"/>
    <w:rsid w:val="004D5E39"/>
    <w:rsid w:val="004D6268"/>
    <w:rsid w:val="004E1E66"/>
    <w:rsid w:val="004E2D95"/>
    <w:rsid w:val="004E4791"/>
    <w:rsid w:val="004E4B14"/>
    <w:rsid w:val="004E4D93"/>
    <w:rsid w:val="004E5391"/>
    <w:rsid w:val="004E569B"/>
    <w:rsid w:val="004E6702"/>
    <w:rsid w:val="004F05C1"/>
    <w:rsid w:val="004F1731"/>
    <w:rsid w:val="004F3006"/>
    <w:rsid w:val="004F51B0"/>
    <w:rsid w:val="004F55EB"/>
    <w:rsid w:val="004F58CE"/>
    <w:rsid w:val="00505E08"/>
    <w:rsid w:val="0050617B"/>
    <w:rsid w:val="00513E13"/>
    <w:rsid w:val="00521054"/>
    <w:rsid w:val="00525EFC"/>
    <w:rsid w:val="00527E92"/>
    <w:rsid w:val="00537E51"/>
    <w:rsid w:val="00542140"/>
    <w:rsid w:val="00546295"/>
    <w:rsid w:val="00546FB9"/>
    <w:rsid w:val="00554081"/>
    <w:rsid w:val="00555A70"/>
    <w:rsid w:val="005613B9"/>
    <w:rsid w:val="00562C78"/>
    <w:rsid w:val="005669B8"/>
    <w:rsid w:val="00567B40"/>
    <w:rsid w:val="00572DE8"/>
    <w:rsid w:val="00572F9A"/>
    <w:rsid w:val="005810E3"/>
    <w:rsid w:val="005811F8"/>
    <w:rsid w:val="00582C58"/>
    <w:rsid w:val="0058694A"/>
    <w:rsid w:val="00587136"/>
    <w:rsid w:val="005937EC"/>
    <w:rsid w:val="00593FB8"/>
    <w:rsid w:val="005955FE"/>
    <w:rsid w:val="0059627D"/>
    <w:rsid w:val="0059732A"/>
    <w:rsid w:val="005A6128"/>
    <w:rsid w:val="005A7414"/>
    <w:rsid w:val="005B0B8B"/>
    <w:rsid w:val="005B3261"/>
    <w:rsid w:val="005B3656"/>
    <w:rsid w:val="005C0491"/>
    <w:rsid w:val="005C3B38"/>
    <w:rsid w:val="005C52CA"/>
    <w:rsid w:val="005D0ED0"/>
    <w:rsid w:val="005D1F23"/>
    <w:rsid w:val="005E7933"/>
    <w:rsid w:val="005F304B"/>
    <w:rsid w:val="005F52FC"/>
    <w:rsid w:val="005F78B5"/>
    <w:rsid w:val="005F7A24"/>
    <w:rsid w:val="00602515"/>
    <w:rsid w:val="00604E63"/>
    <w:rsid w:val="00604E74"/>
    <w:rsid w:val="00610890"/>
    <w:rsid w:val="006163AB"/>
    <w:rsid w:val="006177B3"/>
    <w:rsid w:val="00620206"/>
    <w:rsid w:val="0062046A"/>
    <w:rsid w:val="0062543B"/>
    <w:rsid w:val="00626054"/>
    <w:rsid w:val="00627AB0"/>
    <w:rsid w:val="0063287E"/>
    <w:rsid w:val="006336E0"/>
    <w:rsid w:val="00640EFE"/>
    <w:rsid w:val="0064764C"/>
    <w:rsid w:val="006502CD"/>
    <w:rsid w:val="00652620"/>
    <w:rsid w:val="00656CEA"/>
    <w:rsid w:val="00656E0E"/>
    <w:rsid w:val="00664893"/>
    <w:rsid w:val="006722BF"/>
    <w:rsid w:val="00674909"/>
    <w:rsid w:val="00675098"/>
    <w:rsid w:val="00675481"/>
    <w:rsid w:val="0067562E"/>
    <w:rsid w:val="00681BD9"/>
    <w:rsid w:val="00682089"/>
    <w:rsid w:val="006851D3"/>
    <w:rsid w:val="006855F8"/>
    <w:rsid w:val="006860B1"/>
    <w:rsid w:val="00686CBC"/>
    <w:rsid w:val="00692195"/>
    <w:rsid w:val="006922C3"/>
    <w:rsid w:val="00693857"/>
    <w:rsid w:val="006A043A"/>
    <w:rsid w:val="006A0ADC"/>
    <w:rsid w:val="006A1386"/>
    <w:rsid w:val="006A7D54"/>
    <w:rsid w:val="006B384C"/>
    <w:rsid w:val="006B3B29"/>
    <w:rsid w:val="006B487A"/>
    <w:rsid w:val="006C0EBB"/>
    <w:rsid w:val="006C1DF8"/>
    <w:rsid w:val="006C69A3"/>
    <w:rsid w:val="006C6D4E"/>
    <w:rsid w:val="006C6DDD"/>
    <w:rsid w:val="006C7600"/>
    <w:rsid w:val="006C7E23"/>
    <w:rsid w:val="006D3530"/>
    <w:rsid w:val="006E104E"/>
    <w:rsid w:val="006E42FC"/>
    <w:rsid w:val="006F1FF6"/>
    <w:rsid w:val="006F5824"/>
    <w:rsid w:val="006F7948"/>
    <w:rsid w:val="00704860"/>
    <w:rsid w:val="00705025"/>
    <w:rsid w:val="00706482"/>
    <w:rsid w:val="0070676E"/>
    <w:rsid w:val="00710C8F"/>
    <w:rsid w:val="007141FB"/>
    <w:rsid w:val="00721D1C"/>
    <w:rsid w:val="0072217D"/>
    <w:rsid w:val="00722AF3"/>
    <w:rsid w:val="0072389A"/>
    <w:rsid w:val="0072722D"/>
    <w:rsid w:val="00727883"/>
    <w:rsid w:val="0073182C"/>
    <w:rsid w:val="00731BF1"/>
    <w:rsid w:val="00734360"/>
    <w:rsid w:val="00740CB6"/>
    <w:rsid w:val="00750634"/>
    <w:rsid w:val="00750C5C"/>
    <w:rsid w:val="00753916"/>
    <w:rsid w:val="0075495C"/>
    <w:rsid w:val="0075740B"/>
    <w:rsid w:val="00760766"/>
    <w:rsid w:val="00760C86"/>
    <w:rsid w:val="007619D1"/>
    <w:rsid w:val="00762B54"/>
    <w:rsid w:val="007664C4"/>
    <w:rsid w:val="007709EA"/>
    <w:rsid w:val="007724F6"/>
    <w:rsid w:val="0077587F"/>
    <w:rsid w:val="00775DCE"/>
    <w:rsid w:val="00792DCB"/>
    <w:rsid w:val="00793DA5"/>
    <w:rsid w:val="00793DF2"/>
    <w:rsid w:val="0079592F"/>
    <w:rsid w:val="007A0FD0"/>
    <w:rsid w:val="007A1B69"/>
    <w:rsid w:val="007A21CD"/>
    <w:rsid w:val="007A7E6E"/>
    <w:rsid w:val="007B292B"/>
    <w:rsid w:val="007B29E7"/>
    <w:rsid w:val="007B5D49"/>
    <w:rsid w:val="007B644A"/>
    <w:rsid w:val="007B7810"/>
    <w:rsid w:val="007C08A7"/>
    <w:rsid w:val="007C331B"/>
    <w:rsid w:val="007C4180"/>
    <w:rsid w:val="007C500E"/>
    <w:rsid w:val="007D0014"/>
    <w:rsid w:val="007D42DA"/>
    <w:rsid w:val="007D53F4"/>
    <w:rsid w:val="007D721F"/>
    <w:rsid w:val="007D7369"/>
    <w:rsid w:val="007E12DB"/>
    <w:rsid w:val="007E28BA"/>
    <w:rsid w:val="007E3ECA"/>
    <w:rsid w:val="007E5058"/>
    <w:rsid w:val="007E5A96"/>
    <w:rsid w:val="007E7E3F"/>
    <w:rsid w:val="008042B3"/>
    <w:rsid w:val="0080742C"/>
    <w:rsid w:val="00817574"/>
    <w:rsid w:val="00817A13"/>
    <w:rsid w:val="00821148"/>
    <w:rsid w:val="00825677"/>
    <w:rsid w:val="0083147A"/>
    <w:rsid w:val="008348D6"/>
    <w:rsid w:val="008357C1"/>
    <w:rsid w:val="00836766"/>
    <w:rsid w:val="00836881"/>
    <w:rsid w:val="00842AEB"/>
    <w:rsid w:val="00845147"/>
    <w:rsid w:val="008455A4"/>
    <w:rsid w:val="00845A6C"/>
    <w:rsid w:val="008505C5"/>
    <w:rsid w:val="00852177"/>
    <w:rsid w:val="0085614D"/>
    <w:rsid w:val="00860D10"/>
    <w:rsid w:val="00873392"/>
    <w:rsid w:val="0087568C"/>
    <w:rsid w:val="00876529"/>
    <w:rsid w:val="00876FCA"/>
    <w:rsid w:val="0088039B"/>
    <w:rsid w:val="008803FF"/>
    <w:rsid w:val="00882EB5"/>
    <w:rsid w:val="00886481"/>
    <w:rsid w:val="00893ECB"/>
    <w:rsid w:val="00893F4E"/>
    <w:rsid w:val="00895FEF"/>
    <w:rsid w:val="008A099A"/>
    <w:rsid w:val="008A0FF0"/>
    <w:rsid w:val="008A4E2F"/>
    <w:rsid w:val="008B0B7F"/>
    <w:rsid w:val="008B29E2"/>
    <w:rsid w:val="008B44C3"/>
    <w:rsid w:val="008C0AC8"/>
    <w:rsid w:val="008C3886"/>
    <w:rsid w:val="008C4546"/>
    <w:rsid w:val="008C6239"/>
    <w:rsid w:val="008D1290"/>
    <w:rsid w:val="008D1850"/>
    <w:rsid w:val="008D272C"/>
    <w:rsid w:val="008D32E3"/>
    <w:rsid w:val="008D33EE"/>
    <w:rsid w:val="008D6359"/>
    <w:rsid w:val="008E2DE3"/>
    <w:rsid w:val="008E3B90"/>
    <w:rsid w:val="008F4614"/>
    <w:rsid w:val="00901C1B"/>
    <w:rsid w:val="00902A21"/>
    <w:rsid w:val="00907CC5"/>
    <w:rsid w:val="00912C09"/>
    <w:rsid w:val="009148F2"/>
    <w:rsid w:val="00915E51"/>
    <w:rsid w:val="0091635D"/>
    <w:rsid w:val="00920C5D"/>
    <w:rsid w:val="0092342B"/>
    <w:rsid w:val="00923EC7"/>
    <w:rsid w:val="0093707F"/>
    <w:rsid w:val="00941458"/>
    <w:rsid w:val="009436DA"/>
    <w:rsid w:val="00945646"/>
    <w:rsid w:val="0094611D"/>
    <w:rsid w:val="009461F0"/>
    <w:rsid w:val="0095337B"/>
    <w:rsid w:val="00954ABD"/>
    <w:rsid w:val="00954BDB"/>
    <w:rsid w:val="00956ABA"/>
    <w:rsid w:val="0097013A"/>
    <w:rsid w:val="0097385B"/>
    <w:rsid w:val="009739A3"/>
    <w:rsid w:val="009740BE"/>
    <w:rsid w:val="00975305"/>
    <w:rsid w:val="009825ED"/>
    <w:rsid w:val="00992252"/>
    <w:rsid w:val="00993C74"/>
    <w:rsid w:val="00996D7B"/>
    <w:rsid w:val="00997EA2"/>
    <w:rsid w:val="009A0F8E"/>
    <w:rsid w:val="009A144C"/>
    <w:rsid w:val="009A24EB"/>
    <w:rsid w:val="009A4773"/>
    <w:rsid w:val="009A541C"/>
    <w:rsid w:val="009A7140"/>
    <w:rsid w:val="009B1492"/>
    <w:rsid w:val="009B3125"/>
    <w:rsid w:val="009B4081"/>
    <w:rsid w:val="009C2824"/>
    <w:rsid w:val="009C595C"/>
    <w:rsid w:val="009C65CC"/>
    <w:rsid w:val="009C66FD"/>
    <w:rsid w:val="009C7587"/>
    <w:rsid w:val="009C7CE3"/>
    <w:rsid w:val="009D1E06"/>
    <w:rsid w:val="009E1B0F"/>
    <w:rsid w:val="009E2AB8"/>
    <w:rsid w:val="009E2CE4"/>
    <w:rsid w:val="009F08B6"/>
    <w:rsid w:val="009F1DF6"/>
    <w:rsid w:val="009F39F5"/>
    <w:rsid w:val="009F6070"/>
    <w:rsid w:val="00A05F9F"/>
    <w:rsid w:val="00A06D2A"/>
    <w:rsid w:val="00A10B0F"/>
    <w:rsid w:val="00A1392A"/>
    <w:rsid w:val="00A14AFB"/>
    <w:rsid w:val="00A21426"/>
    <w:rsid w:val="00A23220"/>
    <w:rsid w:val="00A25905"/>
    <w:rsid w:val="00A37D1C"/>
    <w:rsid w:val="00A37EAE"/>
    <w:rsid w:val="00A41BC7"/>
    <w:rsid w:val="00A425FA"/>
    <w:rsid w:val="00A45CFA"/>
    <w:rsid w:val="00A5063A"/>
    <w:rsid w:val="00A509E1"/>
    <w:rsid w:val="00A546E4"/>
    <w:rsid w:val="00A555F9"/>
    <w:rsid w:val="00A57FBE"/>
    <w:rsid w:val="00A6170F"/>
    <w:rsid w:val="00A63322"/>
    <w:rsid w:val="00A73DA2"/>
    <w:rsid w:val="00A833BE"/>
    <w:rsid w:val="00A85603"/>
    <w:rsid w:val="00A8756E"/>
    <w:rsid w:val="00A90C90"/>
    <w:rsid w:val="00A9384A"/>
    <w:rsid w:val="00AA0563"/>
    <w:rsid w:val="00AA6DBF"/>
    <w:rsid w:val="00AA7C9A"/>
    <w:rsid w:val="00AB1507"/>
    <w:rsid w:val="00AB30BD"/>
    <w:rsid w:val="00AB437C"/>
    <w:rsid w:val="00AB63C3"/>
    <w:rsid w:val="00AC021D"/>
    <w:rsid w:val="00AC6EB5"/>
    <w:rsid w:val="00AD3411"/>
    <w:rsid w:val="00AD77D6"/>
    <w:rsid w:val="00AE1BCE"/>
    <w:rsid w:val="00AE4FFE"/>
    <w:rsid w:val="00AF0B05"/>
    <w:rsid w:val="00AF5D51"/>
    <w:rsid w:val="00B050CB"/>
    <w:rsid w:val="00B06DFC"/>
    <w:rsid w:val="00B071D5"/>
    <w:rsid w:val="00B13944"/>
    <w:rsid w:val="00B14122"/>
    <w:rsid w:val="00B1708E"/>
    <w:rsid w:val="00B2278A"/>
    <w:rsid w:val="00B23A47"/>
    <w:rsid w:val="00B24D7E"/>
    <w:rsid w:val="00B260AA"/>
    <w:rsid w:val="00B267BF"/>
    <w:rsid w:val="00B32BC7"/>
    <w:rsid w:val="00B3581A"/>
    <w:rsid w:val="00B36BB1"/>
    <w:rsid w:val="00B37BE3"/>
    <w:rsid w:val="00B43EFE"/>
    <w:rsid w:val="00B46612"/>
    <w:rsid w:val="00B47345"/>
    <w:rsid w:val="00B52B02"/>
    <w:rsid w:val="00B54C35"/>
    <w:rsid w:val="00B54D57"/>
    <w:rsid w:val="00B625AB"/>
    <w:rsid w:val="00B62680"/>
    <w:rsid w:val="00B63A81"/>
    <w:rsid w:val="00B65C1C"/>
    <w:rsid w:val="00B66B5B"/>
    <w:rsid w:val="00B7291F"/>
    <w:rsid w:val="00B76118"/>
    <w:rsid w:val="00B77321"/>
    <w:rsid w:val="00B8796D"/>
    <w:rsid w:val="00B9254C"/>
    <w:rsid w:val="00B92BB9"/>
    <w:rsid w:val="00B94110"/>
    <w:rsid w:val="00B95A69"/>
    <w:rsid w:val="00B97DBF"/>
    <w:rsid w:val="00BA162C"/>
    <w:rsid w:val="00BA19B8"/>
    <w:rsid w:val="00BB0100"/>
    <w:rsid w:val="00BB478F"/>
    <w:rsid w:val="00BC2002"/>
    <w:rsid w:val="00BC2655"/>
    <w:rsid w:val="00BC55C1"/>
    <w:rsid w:val="00BC6822"/>
    <w:rsid w:val="00BC6EA4"/>
    <w:rsid w:val="00BD2559"/>
    <w:rsid w:val="00BD4C6A"/>
    <w:rsid w:val="00BD5024"/>
    <w:rsid w:val="00BD5BDA"/>
    <w:rsid w:val="00BE2267"/>
    <w:rsid w:val="00BE4DA7"/>
    <w:rsid w:val="00BE532F"/>
    <w:rsid w:val="00BE698C"/>
    <w:rsid w:val="00BE71EF"/>
    <w:rsid w:val="00BE75F1"/>
    <w:rsid w:val="00BF193F"/>
    <w:rsid w:val="00BF6CEE"/>
    <w:rsid w:val="00C01673"/>
    <w:rsid w:val="00C01C55"/>
    <w:rsid w:val="00C0287A"/>
    <w:rsid w:val="00C05BF0"/>
    <w:rsid w:val="00C06ECD"/>
    <w:rsid w:val="00C10269"/>
    <w:rsid w:val="00C1054A"/>
    <w:rsid w:val="00C10CCC"/>
    <w:rsid w:val="00C128F8"/>
    <w:rsid w:val="00C1293C"/>
    <w:rsid w:val="00C13FBE"/>
    <w:rsid w:val="00C158F5"/>
    <w:rsid w:val="00C16F23"/>
    <w:rsid w:val="00C277AF"/>
    <w:rsid w:val="00C30098"/>
    <w:rsid w:val="00C363AD"/>
    <w:rsid w:val="00C37452"/>
    <w:rsid w:val="00C3784B"/>
    <w:rsid w:val="00C4101F"/>
    <w:rsid w:val="00C4382A"/>
    <w:rsid w:val="00C522AB"/>
    <w:rsid w:val="00C564B6"/>
    <w:rsid w:val="00C56C9C"/>
    <w:rsid w:val="00C60E38"/>
    <w:rsid w:val="00C61F70"/>
    <w:rsid w:val="00C645BD"/>
    <w:rsid w:val="00C65E7B"/>
    <w:rsid w:val="00C74B5A"/>
    <w:rsid w:val="00C75171"/>
    <w:rsid w:val="00C77FB0"/>
    <w:rsid w:val="00C86C23"/>
    <w:rsid w:val="00C904CC"/>
    <w:rsid w:val="00C90CAF"/>
    <w:rsid w:val="00C95192"/>
    <w:rsid w:val="00C95778"/>
    <w:rsid w:val="00CA390C"/>
    <w:rsid w:val="00CA5039"/>
    <w:rsid w:val="00CA60B2"/>
    <w:rsid w:val="00CA6E28"/>
    <w:rsid w:val="00CA76D6"/>
    <w:rsid w:val="00CA7DD2"/>
    <w:rsid w:val="00CB044D"/>
    <w:rsid w:val="00CB2820"/>
    <w:rsid w:val="00CB642D"/>
    <w:rsid w:val="00CC13AD"/>
    <w:rsid w:val="00CC2373"/>
    <w:rsid w:val="00CD17F4"/>
    <w:rsid w:val="00CD4849"/>
    <w:rsid w:val="00CD6865"/>
    <w:rsid w:val="00CE55DE"/>
    <w:rsid w:val="00CF11A4"/>
    <w:rsid w:val="00CF561D"/>
    <w:rsid w:val="00CF5A0F"/>
    <w:rsid w:val="00CF6DB0"/>
    <w:rsid w:val="00CF7853"/>
    <w:rsid w:val="00D01FB8"/>
    <w:rsid w:val="00D03932"/>
    <w:rsid w:val="00D05E3A"/>
    <w:rsid w:val="00D11984"/>
    <w:rsid w:val="00D14988"/>
    <w:rsid w:val="00D1559F"/>
    <w:rsid w:val="00D20079"/>
    <w:rsid w:val="00D20C64"/>
    <w:rsid w:val="00D217D0"/>
    <w:rsid w:val="00D23F17"/>
    <w:rsid w:val="00D25F1D"/>
    <w:rsid w:val="00D27914"/>
    <w:rsid w:val="00D27DE4"/>
    <w:rsid w:val="00D31BEC"/>
    <w:rsid w:val="00D32F04"/>
    <w:rsid w:val="00D34AE9"/>
    <w:rsid w:val="00D34F0E"/>
    <w:rsid w:val="00D40D2C"/>
    <w:rsid w:val="00D40E3B"/>
    <w:rsid w:val="00D41038"/>
    <w:rsid w:val="00D432E5"/>
    <w:rsid w:val="00D4445E"/>
    <w:rsid w:val="00D45FAB"/>
    <w:rsid w:val="00D5011A"/>
    <w:rsid w:val="00D5593B"/>
    <w:rsid w:val="00D57F2F"/>
    <w:rsid w:val="00D626A3"/>
    <w:rsid w:val="00D62FEB"/>
    <w:rsid w:val="00D63500"/>
    <w:rsid w:val="00D73A4A"/>
    <w:rsid w:val="00D7413C"/>
    <w:rsid w:val="00D7533B"/>
    <w:rsid w:val="00D7537C"/>
    <w:rsid w:val="00D75D9B"/>
    <w:rsid w:val="00D83FF1"/>
    <w:rsid w:val="00D877A7"/>
    <w:rsid w:val="00D87836"/>
    <w:rsid w:val="00DA0E76"/>
    <w:rsid w:val="00DA489F"/>
    <w:rsid w:val="00DA67EE"/>
    <w:rsid w:val="00DA6944"/>
    <w:rsid w:val="00DA7961"/>
    <w:rsid w:val="00DA7CC4"/>
    <w:rsid w:val="00DB48F2"/>
    <w:rsid w:val="00DB4C2E"/>
    <w:rsid w:val="00DB605A"/>
    <w:rsid w:val="00DC37ED"/>
    <w:rsid w:val="00DD11C4"/>
    <w:rsid w:val="00DD182D"/>
    <w:rsid w:val="00DD4419"/>
    <w:rsid w:val="00DD4F4E"/>
    <w:rsid w:val="00DE4C95"/>
    <w:rsid w:val="00DE6363"/>
    <w:rsid w:val="00DF0B69"/>
    <w:rsid w:val="00DF1E41"/>
    <w:rsid w:val="00DF2D4E"/>
    <w:rsid w:val="00DF523B"/>
    <w:rsid w:val="00E0036B"/>
    <w:rsid w:val="00E01992"/>
    <w:rsid w:val="00E059C9"/>
    <w:rsid w:val="00E10335"/>
    <w:rsid w:val="00E10380"/>
    <w:rsid w:val="00E10495"/>
    <w:rsid w:val="00E10695"/>
    <w:rsid w:val="00E12B20"/>
    <w:rsid w:val="00E13598"/>
    <w:rsid w:val="00E15767"/>
    <w:rsid w:val="00E20A2D"/>
    <w:rsid w:val="00E23173"/>
    <w:rsid w:val="00E238A8"/>
    <w:rsid w:val="00E24BFE"/>
    <w:rsid w:val="00E25351"/>
    <w:rsid w:val="00E25575"/>
    <w:rsid w:val="00E327AC"/>
    <w:rsid w:val="00E33939"/>
    <w:rsid w:val="00E41055"/>
    <w:rsid w:val="00E4301E"/>
    <w:rsid w:val="00E43710"/>
    <w:rsid w:val="00E43C88"/>
    <w:rsid w:val="00E475F7"/>
    <w:rsid w:val="00E6058A"/>
    <w:rsid w:val="00E608CC"/>
    <w:rsid w:val="00E60AC1"/>
    <w:rsid w:val="00E62D62"/>
    <w:rsid w:val="00E64A9E"/>
    <w:rsid w:val="00E711D1"/>
    <w:rsid w:val="00E71519"/>
    <w:rsid w:val="00E71DE5"/>
    <w:rsid w:val="00E7202F"/>
    <w:rsid w:val="00E7695F"/>
    <w:rsid w:val="00E77C6A"/>
    <w:rsid w:val="00E8117D"/>
    <w:rsid w:val="00E81A01"/>
    <w:rsid w:val="00E83473"/>
    <w:rsid w:val="00E85F4E"/>
    <w:rsid w:val="00E879A7"/>
    <w:rsid w:val="00E95D39"/>
    <w:rsid w:val="00EA080F"/>
    <w:rsid w:val="00EA563D"/>
    <w:rsid w:val="00EB0480"/>
    <w:rsid w:val="00EB0B8F"/>
    <w:rsid w:val="00EB336A"/>
    <w:rsid w:val="00EB38E2"/>
    <w:rsid w:val="00EB3CE5"/>
    <w:rsid w:val="00EB5993"/>
    <w:rsid w:val="00EB5FBE"/>
    <w:rsid w:val="00EB6777"/>
    <w:rsid w:val="00EB7CAB"/>
    <w:rsid w:val="00EC10E6"/>
    <w:rsid w:val="00EC6072"/>
    <w:rsid w:val="00EC6979"/>
    <w:rsid w:val="00ED1B14"/>
    <w:rsid w:val="00ED1CD7"/>
    <w:rsid w:val="00ED5C6D"/>
    <w:rsid w:val="00EE5E88"/>
    <w:rsid w:val="00EE7D31"/>
    <w:rsid w:val="00EF14C8"/>
    <w:rsid w:val="00EF31E7"/>
    <w:rsid w:val="00EF35C2"/>
    <w:rsid w:val="00EF3BC6"/>
    <w:rsid w:val="00EF49D3"/>
    <w:rsid w:val="00F00CC8"/>
    <w:rsid w:val="00F05361"/>
    <w:rsid w:val="00F06F38"/>
    <w:rsid w:val="00F10635"/>
    <w:rsid w:val="00F12ADF"/>
    <w:rsid w:val="00F1469E"/>
    <w:rsid w:val="00F21636"/>
    <w:rsid w:val="00F21A55"/>
    <w:rsid w:val="00F22E3D"/>
    <w:rsid w:val="00F23242"/>
    <w:rsid w:val="00F300B8"/>
    <w:rsid w:val="00F30FDC"/>
    <w:rsid w:val="00F314E5"/>
    <w:rsid w:val="00F33438"/>
    <w:rsid w:val="00F35346"/>
    <w:rsid w:val="00F427DB"/>
    <w:rsid w:val="00F44C71"/>
    <w:rsid w:val="00F459EC"/>
    <w:rsid w:val="00F47013"/>
    <w:rsid w:val="00F6025D"/>
    <w:rsid w:val="00F70952"/>
    <w:rsid w:val="00F75024"/>
    <w:rsid w:val="00F75296"/>
    <w:rsid w:val="00F75F7A"/>
    <w:rsid w:val="00F779AD"/>
    <w:rsid w:val="00F83E00"/>
    <w:rsid w:val="00F86575"/>
    <w:rsid w:val="00F86E4F"/>
    <w:rsid w:val="00F87AAD"/>
    <w:rsid w:val="00F91681"/>
    <w:rsid w:val="00F966E2"/>
    <w:rsid w:val="00FA057D"/>
    <w:rsid w:val="00FA2A7B"/>
    <w:rsid w:val="00FA4778"/>
    <w:rsid w:val="00FB118F"/>
    <w:rsid w:val="00FB4647"/>
    <w:rsid w:val="00FB52FF"/>
    <w:rsid w:val="00FB7F17"/>
    <w:rsid w:val="00FC0352"/>
    <w:rsid w:val="00FC3A30"/>
    <w:rsid w:val="00FC3B3A"/>
    <w:rsid w:val="00FC4660"/>
    <w:rsid w:val="00FC577F"/>
    <w:rsid w:val="00FD21CB"/>
    <w:rsid w:val="00FD2D81"/>
    <w:rsid w:val="00FD5529"/>
    <w:rsid w:val="00FD57F8"/>
    <w:rsid w:val="00FD6B0F"/>
    <w:rsid w:val="00FD72CE"/>
    <w:rsid w:val="00FE54E2"/>
    <w:rsid w:val="00FE5DE5"/>
    <w:rsid w:val="00FE6A41"/>
    <w:rsid w:val="00FF17A3"/>
    <w:rsid w:val="00FF612A"/>
    <w:rsid w:val="00FF63DD"/>
    <w:rsid w:val="00FF6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CB062"/>
  <w15:docId w15:val="{F578F041-973B-4843-BCEF-48D79AFD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qFormat="1"/>
    <w:lsdException w:name="toc 2" w:semiHidden="1" w:uiPriority="39" w:qFormat="1"/>
    <w:lsdException w:name="toc 3" w:semiHidden="1" w:uiPriority="39"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footer" w:semiHidden="1" w:unhideWhenUsed="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iPriority="0" w:unhideWhenUsed="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semiHidden="1" w:uiPriority="1" w:unhideWhenUsed="1"/>
    <w:lsdException w:name="Body Text" w:semiHidden="1"/>
    <w:lsdException w:name="Body Text Indent" w:semiHidden="1" w:uiPriority="0"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qFormat="1"/>
    <w:lsdException w:name="Emphasis" w:semiHidden="1" w:qFormat="1"/>
    <w:lsdException w:name="Document Map" w:semiHidden="1" w:unhideWhenUsed="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unhideWhenUsed="1"/>
    <w:lsdException w:name="HTML Sample" w:semiHidden="1" w:unhideWhenUsed="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9"/>
    <w:qFormat/>
    <w:rsid w:val="00235549"/>
  </w:style>
  <w:style w:type="paragraph" w:styleId="Heading1">
    <w:name w:val="heading 1"/>
    <w:basedOn w:val="Normal"/>
    <w:next w:val="Normal"/>
    <w:link w:val="Heading1Char"/>
    <w:uiPriority w:val="99"/>
    <w:semiHidden/>
    <w:rsid w:val="00EF35C2"/>
    <w:pPr>
      <w:keepNext/>
      <w:keepLines/>
      <w:spacing w:before="240"/>
      <w:outlineLvl w:val="0"/>
    </w:pPr>
    <w:rPr>
      <w:rFonts w:eastAsiaTheme="majorEastAsia" w:cstheme="majorBidi"/>
      <w:b/>
      <w:bCs/>
      <w:sz w:val="22"/>
      <w:szCs w:val="28"/>
    </w:rPr>
  </w:style>
  <w:style w:type="paragraph" w:styleId="Heading2">
    <w:name w:val="heading 2"/>
    <w:basedOn w:val="Normal"/>
    <w:next w:val="Normal"/>
    <w:link w:val="Heading2Char"/>
    <w:uiPriority w:val="99"/>
    <w:semiHidden/>
    <w:rsid w:val="00EF35C2"/>
    <w:pPr>
      <w:outlineLvl w:val="1"/>
    </w:pPr>
    <w:rPr>
      <w:rFonts w:eastAsiaTheme="majorEastAsia" w:cstheme="majorBidi"/>
      <w:b/>
      <w:bCs/>
      <w:szCs w:val="26"/>
    </w:rPr>
  </w:style>
  <w:style w:type="paragraph" w:styleId="Heading3">
    <w:name w:val="heading 3"/>
    <w:basedOn w:val="Normal"/>
    <w:next w:val="Normal"/>
    <w:link w:val="Heading3Char"/>
    <w:uiPriority w:val="99"/>
    <w:semiHidden/>
    <w:rsid w:val="00EF35C2"/>
    <w:pPr>
      <w:outlineLvl w:val="2"/>
    </w:pPr>
    <w:rPr>
      <w:rFonts w:eastAsiaTheme="majorEastAsia" w:cstheme="majorBidi"/>
      <w:b/>
      <w:bCs/>
    </w:rPr>
  </w:style>
  <w:style w:type="paragraph" w:styleId="Heading4">
    <w:name w:val="heading 4"/>
    <w:basedOn w:val="Normal"/>
    <w:next w:val="Normal"/>
    <w:link w:val="Heading4Char"/>
    <w:uiPriority w:val="99"/>
    <w:semiHidden/>
    <w:rsid w:val="00EF35C2"/>
    <w:pPr>
      <w:outlineLvl w:val="3"/>
    </w:pPr>
    <w:rPr>
      <w:rFonts w:eastAsiaTheme="majorEastAsia" w:cstheme="majorBidi"/>
      <w:b/>
      <w:iCs/>
    </w:rPr>
  </w:style>
  <w:style w:type="paragraph" w:styleId="Heading5">
    <w:name w:val="heading 5"/>
    <w:basedOn w:val="Normal"/>
    <w:next w:val="Normal"/>
    <w:link w:val="Heading5Char"/>
    <w:uiPriority w:val="99"/>
    <w:semiHidden/>
    <w:rsid w:val="00EF35C2"/>
    <w:pPr>
      <w:outlineLvl w:val="4"/>
    </w:pPr>
    <w:rPr>
      <w:rFonts w:eastAsiaTheme="majorEastAsia" w:cstheme="majorBidi"/>
      <w:b/>
    </w:rPr>
  </w:style>
  <w:style w:type="paragraph" w:styleId="Heading6">
    <w:name w:val="heading 6"/>
    <w:basedOn w:val="Normal"/>
    <w:next w:val="Normal"/>
    <w:link w:val="Heading6Char"/>
    <w:uiPriority w:val="99"/>
    <w:semiHidden/>
    <w:rsid w:val="00EF35C2"/>
    <w:pPr>
      <w:outlineLvl w:val="5"/>
    </w:pPr>
    <w:rPr>
      <w:rFonts w:eastAsiaTheme="majorEastAsia" w:cstheme="majorBidi"/>
      <w:b/>
    </w:rPr>
  </w:style>
  <w:style w:type="paragraph" w:styleId="Heading7">
    <w:name w:val="heading 7"/>
    <w:basedOn w:val="Normal"/>
    <w:next w:val="Normal"/>
    <w:link w:val="Heading7Char"/>
    <w:uiPriority w:val="99"/>
    <w:semiHidden/>
    <w:rsid w:val="00EF35C2"/>
    <w:pPr>
      <w:outlineLvl w:val="6"/>
    </w:pPr>
    <w:rPr>
      <w:rFonts w:eastAsiaTheme="majorEastAsia" w:cstheme="majorBidi"/>
      <w:b/>
      <w:iCs/>
    </w:rPr>
  </w:style>
  <w:style w:type="paragraph" w:styleId="Heading8">
    <w:name w:val="heading 8"/>
    <w:basedOn w:val="Normal"/>
    <w:next w:val="Normal"/>
    <w:link w:val="Heading8Char"/>
    <w:uiPriority w:val="99"/>
    <w:semiHidden/>
    <w:rsid w:val="00EF35C2"/>
    <w:pPr>
      <w:outlineLvl w:val="7"/>
    </w:pPr>
    <w:rPr>
      <w:rFonts w:eastAsiaTheme="majorEastAsia" w:cstheme="majorBidi"/>
      <w:b/>
      <w:szCs w:val="21"/>
    </w:rPr>
  </w:style>
  <w:style w:type="paragraph" w:styleId="Heading9">
    <w:name w:val="heading 9"/>
    <w:basedOn w:val="Normal"/>
    <w:next w:val="Normal"/>
    <w:link w:val="Heading9Char"/>
    <w:uiPriority w:val="99"/>
    <w:semiHidden/>
    <w:rsid w:val="00EF35C2"/>
    <w:pPr>
      <w:outlineLvl w:val="8"/>
    </w:pPr>
    <w:rPr>
      <w:rFonts w:eastAsiaTheme="majorEastAsia" w:cstheme="majorBidi"/>
      <w:b/>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semiHidden/>
    <w:rsid w:val="00EF35C2"/>
    <w:rPr>
      <w:rFonts w:eastAsiaTheme="majorEastAsia" w:cstheme="majorBidi"/>
      <w:b/>
      <w:bCs/>
      <w:sz w:val="22"/>
      <w:szCs w:val="28"/>
    </w:rPr>
  </w:style>
  <w:style w:type="character" w:customStyle="1" w:styleId="Heading2Char">
    <w:name w:val="Heading 2 Char"/>
    <w:basedOn w:val="DefaultParagraphFont"/>
    <w:link w:val="Heading2"/>
    <w:uiPriority w:val="99"/>
    <w:semiHidden/>
    <w:rsid w:val="00C10CCC"/>
    <w:rPr>
      <w:rFonts w:eastAsiaTheme="majorEastAsia" w:cstheme="majorBidi"/>
      <w:b/>
      <w:bCs/>
      <w:szCs w:val="26"/>
    </w:rPr>
  </w:style>
  <w:style w:type="character" w:customStyle="1" w:styleId="Heading3Char">
    <w:name w:val="Heading 3 Char"/>
    <w:basedOn w:val="DefaultParagraphFont"/>
    <w:link w:val="Heading3"/>
    <w:uiPriority w:val="99"/>
    <w:semiHidden/>
    <w:rsid w:val="00C10CCC"/>
    <w:rPr>
      <w:rFonts w:eastAsiaTheme="majorEastAsia" w:cstheme="majorBidi"/>
      <w:b/>
      <w:bCs/>
    </w:rPr>
  </w:style>
  <w:style w:type="paragraph" w:styleId="TOCHeading">
    <w:name w:val="TOC Heading"/>
    <w:basedOn w:val="Heading1"/>
    <w:next w:val="Normal"/>
    <w:uiPriority w:val="99"/>
    <w:semiHidden/>
    <w:unhideWhenUsed/>
    <w:qFormat/>
    <w:rsid w:val="00D41038"/>
    <w:pPr>
      <w:outlineLvl w:val="9"/>
    </w:pPr>
  </w:style>
  <w:style w:type="paragraph" w:styleId="BalloonText">
    <w:name w:val="Balloon Text"/>
    <w:basedOn w:val="Normal"/>
    <w:link w:val="BalloonTextChar"/>
    <w:uiPriority w:val="99"/>
    <w:semiHidden/>
    <w:unhideWhenUsed/>
    <w:rsid w:val="00D41038"/>
    <w:rPr>
      <w:rFonts w:ascii="Tahoma" w:hAnsi="Tahoma" w:cs="Tahoma"/>
      <w:sz w:val="16"/>
      <w:szCs w:val="16"/>
    </w:rPr>
  </w:style>
  <w:style w:type="character" w:customStyle="1" w:styleId="BalloonTextChar">
    <w:name w:val="Balloon Text Char"/>
    <w:basedOn w:val="DefaultParagraphFont"/>
    <w:link w:val="BalloonText"/>
    <w:uiPriority w:val="99"/>
    <w:semiHidden/>
    <w:rsid w:val="00230E8F"/>
    <w:rPr>
      <w:rFonts w:ascii="Tahoma" w:hAnsi="Tahoma" w:cs="Tahoma"/>
      <w:sz w:val="16"/>
      <w:szCs w:val="16"/>
    </w:rPr>
  </w:style>
  <w:style w:type="paragraph" w:styleId="Footer">
    <w:name w:val="footer"/>
    <w:basedOn w:val="Normal"/>
    <w:link w:val="FooterChar"/>
    <w:uiPriority w:val="99"/>
    <w:rsid w:val="00760C86"/>
    <w:pPr>
      <w:tabs>
        <w:tab w:val="center" w:pos="4680"/>
        <w:tab w:val="right" w:pos="9360"/>
      </w:tabs>
      <w:spacing w:before="60" w:after="60"/>
    </w:pPr>
    <w:rPr>
      <w:sz w:val="18"/>
    </w:rPr>
  </w:style>
  <w:style w:type="character" w:customStyle="1" w:styleId="FooterChar">
    <w:name w:val="Footer Char"/>
    <w:basedOn w:val="DefaultParagraphFont"/>
    <w:link w:val="Footer"/>
    <w:uiPriority w:val="99"/>
    <w:rsid w:val="00230E8F"/>
    <w:rPr>
      <w:sz w:val="18"/>
    </w:rPr>
  </w:style>
  <w:style w:type="paragraph" w:styleId="TOC1">
    <w:name w:val="toc 1"/>
    <w:basedOn w:val="Normal"/>
    <w:next w:val="Normal"/>
    <w:autoRedefine/>
    <w:uiPriority w:val="39"/>
    <w:qFormat/>
    <w:rsid w:val="00CF5A0F"/>
    <w:pPr>
      <w:tabs>
        <w:tab w:val="right" w:leader="dot" w:pos="9288"/>
      </w:tabs>
      <w:ind w:right="720" w:hanging="720"/>
    </w:pPr>
  </w:style>
  <w:style w:type="paragraph" w:customStyle="1" w:styleId="1Heading1">
    <w:name w:val="1 Heading 1"/>
    <w:basedOn w:val="Normal"/>
    <w:link w:val="1Heading1Char"/>
    <w:uiPriority w:val="1"/>
    <w:qFormat/>
    <w:rsid w:val="00EA080F"/>
    <w:pPr>
      <w:numPr>
        <w:numId w:val="47"/>
      </w:numPr>
      <w:spacing w:before="240"/>
      <w:outlineLvl w:val="0"/>
    </w:pPr>
    <w:rPr>
      <w:b/>
      <w:sz w:val="22"/>
      <w:szCs w:val="28"/>
    </w:rPr>
  </w:style>
  <w:style w:type="character" w:styleId="Hyperlink">
    <w:name w:val="Hyperlink"/>
    <w:basedOn w:val="DefaultParagraphFont"/>
    <w:uiPriority w:val="99"/>
    <w:rsid w:val="00D41038"/>
    <w:rPr>
      <w:color w:val="0000FF" w:themeColor="hyperlink"/>
      <w:u w:val="single"/>
    </w:rPr>
  </w:style>
  <w:style w:type="character" w:styleId="PlaceholderText">
    <w:name w:val="Placeholder Text"/>
    <w:basedOn w:val="DefaultParagraphFont"/>
    <w:uiPriority w:val="99"/>
    <w:rsid w:val="00397A88"/>
    <w:rPr>
      <w:b/>
      <w:i/>
      <w:color w:val="C00000"/>
      <w:u w:val="single"/>
    </w:rPr>
  </w:style>
  <w:style w:type="table" w:styleId="TableGrid">
    <w:name w:val="Table Grid"/>
    <w:basedOn w:val="TableNormal"/>
    <w:uiPriority w:val="59"/>
    <w:rsid w:val="00D41038"/>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dnoteText">
    <w:name w:val="endnote text"/>
    <w:basedOn w:val="Normal"/>
    <w:link w:val="EndnoteTextChar"/>
    <w:uiPriority w:val="99"/>
    <w:semiHidden/>
    <w:rsid w:val="00D41038"/>
    <w:pPr>
      <w:widowControl w:val="0"/>
      <w:overflowPunct w:val="0"/>
      <w:autoSpaceDE w:val="0"/>
      <w:autoSpaceDN w:val="0"/>
      <w:adjustRightInd w:val="0"/>
      <w:textAlignment w:val="baseline"/>
    </w:pPr>
    <w:rPr>
      <w:rFonts w:ascii="Courier New" w:eastAsia="Times New Roman" w:hAnsi="Courier New"/>
    </w:rPr>
  </w:style>
  <w:style w:type="character" w:customStyle="1" w:styleId="EndnoteTextChar">
    <w:name w:val="Endnote Text Char"/>
    <w:basedOn w:val="DefaultParagraphFont"/>
    <w:link w:val="EndnoteText"/>
    <w:uiPriority w:val="99"/>
    <w:semiHidden/>
    <w:rsid w:val="00230E8F"/>
    <w:rPr>
      <w:rFonts w:ascii="Courier New" w:eastAsia="Times New Roman" w:hAnsi="Courier New"/>
    </w:rPr>
  </w:style>
  <w:style w:type="paragraph" w:styleId="BodyTextIndent">
    <w:name w:val="Body Text Indent"/>
    <w:basedOn w:val="Normal"/>
    <w:link w:val="BodyTextIndentChar"/>
    <w:uiPriority w:val="99"/>
    <w:semiHidden/>
    <w:rsid w:val="00D41038"/>
    <w:pPr>
      <w:suppressAutoHyphens/>
      <w:overflowPunct w:val="0"/>
      <w:autoSpaceDE w:val="0"/>
      <w:autoSpaceDN w:val="0"/>
      <w:adjustRightInd w:val="0"/>
      <w:ind w:left="1440"/>
      <w:textAlignment w:val="baseline"/>
    </w:pPr>
    <w:rPr>
      <w:rFonts w:eastAsia="Times New Roman"/>
      <w:spacing w:val="-2"/>
    </w:rPr>
  </w:style>
  <w:style w:type="character" w:customStyle="1" w:styleId="BodyTextIndentChar">
    <w:name w:val="Body Text Indent Char"/>
    <w:basedOn w:val="DefaultParagraphFont"/>
    <w:link w:val="BodyTextIndent"/>
    <w:uiPriority w:val="99"/>
    <w:semiHidden/>
    <w:rsid w:val="00230E8F"/>
    <w:rPr>
      <w:rFonts w:eastAsia="Times New Roman"/>
      <w:spacing w:val="-2"/>
    </w:rPr>
  </w:style>
  <w:style w:type="table" w:styleId="TableGrid1">
    <w:name w:val="Table Grid 1"/>
    <w:basedOn w:val="TableNormal"/>
    <w:uiPriority w:val="99"/>
    <w:semiHidden/>
    <w:unhideWhenUsed/>
    <w:rsid w:val="00D41038"/>
    <w:pPr>
      <w:spacing w:after="0"/>
      <w:ind w:left="720"/>
      <w:jc w:val="both"/>
    </w:pPr>
    <w:rPr>
      <w:rFonts w:ascii="Times New Roman" w:hAnsi="Times New Roman"/>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ListParagraph">
    <w:name w:val="List Paragraph"/>
    <w:basedOn w:val="Normal"/>
    <w:autoRedefine/>
    <w:uiPriority w:val="99"/>
    <w:qFormat/>
    <w:rsid w:val="00D41038"/>
    <w:pPr>
      <w:numPr>
        <w:numId w:val="48"/>
      </w:numPr>
      <w:tabs>
        <w:tab w:val="num" w:pos="360"/>
      </w:tabs>
      <w:ind w:left="0" w:firstLine="0"/>
    </w:pPr>
  </w:style>
  <w:style w:type="paragraph" w:styleId="DocumentMap">
    <w:name w:val="Document Map"/>
    <w:basedOn w:val="Normal"/>
    <w:link w:val="DocumentMapChar"/>
    <w:uiPriority w:val="99"/>
    <w:semiHidden/>
    <w:unhideWhenUsed/>
    <w:rsid w:val="00D41038"/>
    <w:rPr>
      <w:rFonts w:ascii="Tahoma" w:hAnsi="Tahoma" w:cs="Tahoma"/>
      <w:sz w:val="16"/>
      <w:szCs w:val="16"/>
    </w:rPr>
  </w:style>
  <w:style w:type="character" w:customStyle="1" w:styleId="DocumentMapChar">
    <w:name w:val="Document Map Char"/>
    <w:basedOn w:val="DefaultParagraphFont"/>
    <w:link w:val="DocumentMap"/>
    <w:uiPriority w:val="99"/>
    <w:semiHidden/>
    <w:rsid w:val="00230E8F"/>
    <w:rPr>
      <w:rFonts w:ascii="Tahoma" w:hAnsi="Tahoma" w:cs="Tahoma"/>
      <w:sz w:val="16"/>
      <w:szCs w:val="16"/>
    </w:rPr>
  </w:style>
  <w:style w:type="paragraph" w:customStyle="1" w:styleId="ssBidItem">
    <w:name w:val="ssBidItem"/>
    <w:basedOn w:val="spParagraph"/>
    <w:uiPriority w:val="9"/>
    <w:rsid w:val="00682089"/>
    <w:pPr>
      <w:tabs>
        <w:tab w:val="left" w:pos="1584"/>
        <w:tab w:val="right" w:pos="9360"/>
      </w:tabs>
      <w:spacing w:before="60" w:after="60"/>
    </w:pPr>
    <w:rPr>
      <w:rFonts w:eastAsia="Times New Roman"/>
      <w:sz w:val="18"/>
      <w:szCs w:val="20"/>
    </w:rPr>
  </w:style>
  <w:style w:type="paragraph" w:customStyle="1" w:styleId="wiComment">
    <w:name w:val="wiComment"/>
    <w:basedOn w:val="spSmall"/>
    <w:rsid w:val="00B8796D"/>
    <w:pPr>
      <w:widowControl w:val="0"/>
      <w:spacing w:before="120" w:after="120"/>
      <w:ind w:left="-432" w:right="-432"/>
    </w:pPr>
    <w:rPr>
      <w:rFonts w:eastAsia="Times New Roman" w:cs="Times New Roman"/>
      <w:b/>
      <w:i/>
      <w:color w:val="CC0000"/>
      <w:szCs w:val="20"/>
    </w:rPr>
  </w:style>
  <w:style w:type="paragraph" w:styleId="Revision">
    <w:name w:val="Revision"/>
    <w:hidden/>
    <w:uiPriority w:val="99"/>
    <w:semiHidden/>
    <w:rsid w:val="00FC3A30"/>
    <w:pPr>
      <w:spacing w:after="0"/>
    </w:pPr>
    <w:rPr>
      <w:rFonts w:ascii="Times New Roman" w:hAnsi="Times New Roman" w:cs="Times New Roman"/>
      <w:sz w:val="24"/>
      <w:szCs w:val="24"/>
    </w:rPr>
  </w:style>
  <w:style w:type="paragraph" w:customStyle="1" w:styleId="spNumList1">
    <w:name w:val="spNumList1"/>
    <w:basedOn w:val="spSmall"/>
    <w:uiPriority w:val="2"/>
    <w:rsid w:val="00034B1B"/>
    <w:pPr>
      <w:ind w:left="720" w:hanging="360"/>
    </w:pPr>
    <w:rPr>
      <w:rFonts w:eastAsia="Times New Roman" w:cs="Times New Roman"/>
      <w:szCs w:val="20"/>
    </w:rPr>
  </w:style>
  <w:style w:type="paragraph" w:customStyle="1" w:styleId="ssParagraph">
    <w:name w:val="ssParagraph"/>
    <w:basedOn w:val="spParagraph"/>
    <w:uiPriority w:val="8"/>
    <w:rsid w:val="00FD57F8"/>
    <w:pPr>
      <w:tabs>
        <w:tab w:val="right" w:pos="-72"/>
        <w:tab w:val="left" w:pos="0"/>
      </w:tabs>
      <w:ind w:hanging="288"/>
    </w:pPr>
    <w:rPr>
      <w:rFonts w:eastAsia="Times New Roman" w:cs="Times New Roman"/>
      <w:szCs w:val="20"/>
    </w:rPr>
  </w:style>
  <w:style w:type="paragraph" w:customStyle="1" w:styleId="spBullet1">
    <w:name w:val="spBullet1"/>
    <w:basedOn w:val="spSmall"/>
    <w:uiPriority w:val="3"/>
    <w:rsid w:val="0059732A"/>
    <w:pPr>
      <w:tabs>
        <w:tab w:val="left" w:pos="630"/>
      </w:tabs>
      <w:ind w:left="648" w:hanging="288"/>
    </w:pPr>
    <w:rPr>
      <w:rFonts w:eastAsia="Times New Roman" w:cs="Times New Roman"/>
      <w:szCs w:val="20"/>
    </w:rPr>
  </w:style>
  <w:style w:type="paragraph" w:customStyle="1" w:styleId="spVersion">
    <w:name w:val="spVersion"/>
    <w:basedOn w:val="spSmall"/>
    <w:next w:val="spParagraph"/>
    <w:uiPriority w:val="10"/>
    <w:rsid w:val="0059732A"/>
    <w:pPr>
      <w:ind w:left="0"/>
    </w:pPr>
    <w:rPr>
      <w:szCs w:val="24"/>
    </w:rPr>
  </w:style>
  <w:style w:type="paragraph" w:customStyle="1" w:styleId="spTable">
    <w:name w:val="spTable"/>
    <w:basedOn w:val="spSmall"/>
    <w:uiPriority w:val="5"/>
    <w:rsid w:val="0059732A"/>
    <w:pPr>
      <w:keepNext/>
      <w:ind w:left="0"/>
      <w:jc w:val="center"/>
    </w:pPr>
    <w:rPr>
      <w:szCs w:val="22"/>
    </w:rPr>
  </w:style>
  <w:style w:type="paragraph" w:customStyle="1" w:styleId="spSmall">
    <w:name w:val="spSmall"/>
    <w:basedOn w:val="spParagraph"/>
    <w:uiPriority w:val="3"/>
    <w:rsid w:val="0059732A"/>
    <w:pPr>
      <w:spacing w:before="60" w:after="60"/>
      <w:ind w:left="360"/>
    </w:pPr>
    <w:rPr>
      <w:sz w:val="18"/>
    </w:rPr>
  </w:style>
  <w:style w:type="character" w:customStyle="1" w:styleId="ssParagraphNumber">
    <w:name w:val="ssParagraphNumber"/>
    <w:basedOn w:val="DefaultParagraphFont"/>
    <w:uiPriority w:val="6"/>
    <w:rsid w:val="00FD57F8"/>
    <w:rPr>
      <w:sz w:val="12"/>
    </w:rPr>
  </w:style>
  <w:style w:type="character" w:customStyle="1" w:styleId="1Heading1Char">
    <w:name w:val="1 Heading 1 Char"/>
    <w:basedOn w:val="DefaultParagraphFont"/>
    <w:link w:val="1Heading1"/>
    <w:uiPriority w:val="1"/>
    <w:rsid w:val="00BC6EA4"/>
    <w:rPr>
      <w:b/>
      <w:sz w:val="22"/>
      <w:szCs w:val="28"/>
    </w:rPr>
  </w:style>
  <w:style w:type="paragraph" w:customStyle="1" w:styleId="spParagraph">
    <w:name w:val="spParagraph"/>
    <w:uiPriority w:val="1"/>
    <w:rsid w:val="00FD57F8"/>
    <w:rPr>
      <w:szCs w:val="28"/>
    </w:rPr>
  </w:style>
  <w:style w:type="paragraph" w:customStyle="1" w:styleId="spTableTitle">
    <w:name w:val="spTableTitle"/>
    <w:basedOn w:val="spTable"/>
    <w:uiPriority w:val="4"/>
    <w:rsid w:val="003D3B59"/>
    <w:pPr>
      <w:spacing w:before="120"/>
    </w:pPr>
    <w:rPr>
      <w:b/>
    </w:rPr>
  </w:style>
  <w:style w:type="paragraph" w:styleId="TOC2">
    <w:name w:val="toc 2"/>
    <w:basedOn w:val="Normal"/>
    <w:next w:val="Normal"/>
    <w:autoRedefine/>
    <w:uiPriority w:val="99"/>
    <w:semiHidden/>
    <w:qFormat/>
    <w:rsid w:val="00D41038"/>
    <w:pPr>
      <w:spacing w:after="100"/>
      <w:ind w:left="220"/>
    </w:pPr>
    <w:rPr>
      <w:rFonts w:asciiTheme="minorHAnsi" w:eastAsiaTheme="minorEastAsia" w:hAnsiTheme="minorHAnsi"/>
      <w:sz w:val="22"/>
      <w:szCs w:val="22"/>
    </w:rPr>
  </w:style>
  <w:style w:type="paragraph" w:styleId="TOC3">
    <w:name w:val="toc 3"/>
    <w:basedOn w:val="Normal"/>
    <w:next w:val="Normal"/>
    <w:autoRedefine/>
    <w:uiPriority w:val="99"/>
    <w:semiHidden/>
    <w:qFormat/>
    <w:rsid w:val="00D41038"/>
    <w:pPr>
      <w:spacing w:after="100"/>
      <w:ind w:left="440"/>
    </w:pPr>
    <w:rPr>
      <w:rFonts w:asciiTheme="minorHAnsi" w:eastAsiaTheme="minorEastAsia" w:hAnsiTheme="minorHAnsi"/>
      <w:sz w:val="22"/>
      <w:szCs w:val="22"/>
    </w:rPr>
  </w:style>
  <w:style w:type="paragraph" w:styleId="TOC4">
    <w:name w:val="toc 4"/>
    <w:basedOn w:val="Normal"/>
    <w:next w:val="Normal"/>
    <w:autoRedefine/>
    <w:uiPriority w:val="99"/>
    <w:semiHidden/>
    <w:rsid w:val="00D41038"/>
    <w:pPr>
      <w:spacing w:after="100" w:line="276" w:lineRule="auto"/>
      <w:ind w:left="660"/>
    </w:pPr>
    <w:rPr>
      <w:rFonts w:asciiTheme="minorHAnsi" w:eastAsiaTheme="minorEastAsia" w:hAnsiTheme="minorHAnsi"/>
      <w:sz w:val="22"/>
      <w:szCs w:val="22"/>
    </w:rPr>
  </w:style>
  <w:style w:type="paragraph" w:styleId="TOC5">
    <w:name w:val="toc 5"/>
    <w:basedOn w:val="Normal"/>
    <w:next w:val="Normal"/>
    <w:autoRedefine/>
    <w:uiPriority w:val="99"/>
    <w:semiHidden/>
    <w:rsid w:val="00D41038"/>
    <w:pPr>
      <w:spacing w:after="100" w:line="276" w:lineRule="auto"/>
      <w:ind w:left="880"/>
    </w:pPr>
    <w:rPr>
      <w:rFonts w:asciiTheme="minorHAnsi" w:eastAsiaTheme="minorEastAsia" w:hAnsiTheme="minorHAnsi"/>
      <w:sz w:val="22"/>
      <w:szCs w:val="22"/>
    </w:rPr>
  </w:style>
  <w:style w:type="paragraph" w:styleId="TOC6">
    <w:name w:val="toc 6"/>
    <w:basedOn w:val="Normal"/>
    <w:next w:val="Normal"/>
    <w:autoRedefine/>
    <w:uiPriority w:val="99"/>
    <w:semiHidden/>
    <w:rsid w:val="00D41038"/>
    <w:pPr>
      <w:spacing w:after="100" w:line="276" w:lineRule="auto"/>
      <w:ind w:left="1100"/>
    </w:pPr>
    <w:rPr>
      <w:rFonts w:asciiTheme="minorHAnsi" w:eastAsiaTheme="minorEastAsia" w:hAnsiTheme="minorHAnsi"/>
      <w:sz w:val="22"/>
      <w:szCs w:val="22"/>
    </w:rPr>
  </w:style>
  <w:style w:type="paragraph" w:styleId="TOC7">
    <w:name w:val="toc 7"/>
    <w:basedOn w:val="Normal"/>
    <w:next w:val="Normal"/>
    <w:autoRedefine/>
    <w:uiPriority w:val="99"/>
    <w:semiHidden/>
    <w:rsid w:val="00D41038"/>
    <w:pPr>
      <w:spacing w:after="100" w:line="276" w:lineRule="auto"/>
      <w:ind w:left="1320"/>
    </w:pPr>
    <w:rPr>
      <w:rFonts w:asciiTheme="minorHAnsi" w:eastAsiaTheme="minorEastAsia" w:hAnsiTheme="minorHAnsi"/>
      <w:sz w:val="22"/>
      <w:szCs w:val="22"/>
    </w:rPr>
  </w:style>
  <w:style w:type="paragraph" w:styleId="TOC8">
    <w:name w:val="toc 8"/>
    <w:basedOn w:val="Normal"/>
    <w:next w:val="Normal"/>
    <w:autoRedefine/>
    <w:uiPriority w:val="99"/>
    <w:semiHidden/>
    <w:rsid w:val="00D41038"/>
    <w:pPr>
      <w:spacing w:after="100" w:line="276" w:lineRule="auto"/>
      <w:ind w:left="1540"/>
    </w:pPr>
    <w:rPr>
      <w:rFonts w:asciiTheme="minorHAnsi" w:eastAsiaTheme="minorEastAsia" w:hAnsiTheme="minorHAnsi"/>
      <w:sz w:val="22"/>
      <w:szCs w:val="22"/>
    </w:rPr>
  </w:style>
  <w:style w:type="paragraph" w:styleId="TOC9">
    <w:name w:val="toc 9"/>
    <w:basedOn w:val="Normal"/>
    <w:next w:val="Normal"/>
    <w:autoRedefine/>
    <w:uiPriority w:val="99"/>
    <w:semiHidden/>
    <w:rsid w:val="00D41038"/>
    <w:pPr>
      <w:spacing w:after="100" w:line="276" w:lineRule="auto"/>
      <w:ind w:left="1760"/>
    </w:pPr>
    <w:rPr>
      <w:rFonts w:asciiTheme="minorHAnsi" w:eastAsiaTheme="minorEastAsia" w:hAnsiTheme="minorHAnsi"/>
      <w:sz w:val="22"/>
      <w:szCs w:val="22"/>
    </w:rPr>
  </w:style>
  <w:style w:type="paragraph" w:customStyle="1" w:styleId="spUndefined">
    <w:name w:val="spUndefined"/>
    <w:uiPriority w:val="6"/>
    <w:rsid w:val="003D3B59"/>
    <w:rPr>
      <w:rFonts w:cs="Times New Roman"/>
      <w:bCs/>
      <w:noProof/>
      <w:szCs w:val="28"/>
    </w:rPr>
  </w:style>
  <w:style w:type="paragraph" w:customStyle="1" w:styleId="spEOF">
    <w:name w:val="spEOF"/>
    <w:autoRedefine/>
    <w:uiPriority w:val="11"/>
    <w:semiHidden/>
    <w:rsid w:val="002D0B91"/>
    <w:pPr>
      <w:spacing w:after="0"/>
      <w:jc w:val="center"/>
    </w:pPr>
    <w:rPr>
      <w:rFonts w:cs="Times New Roman"/>
      <w:b/>
      <w:color w:val="7030A0"/>
      <w:sz w:val="40"/>
      <w:szCs w:val="24"/>
    </w:rPr>
  </w:style>
  <w:style w:type="character" w:customStyle="1" w:styleId="spHeading">
    <w:name w:val="spHeading"/>
    <w:basedOn w:val="DefaultParagraphFont"/>
    <w:uiPriority w:val="1"/>
    <w:rsid w:val="001A76A9"/>
    <w:rPr>
      <w:b/>
    </w:rPr>
  </w:style>
  <w:style w:type="paragraph" w:customStyle="1" w:styleId="wiWebLink">
    <w:name w:val="wiWebLink"/>
    <w:basedOn w:val="Normal"/>
    <w:uiPriority w:val="5"/>
    <w:rsid w:val="006722BF"/>
    <w:pPr>
      <w:widowControl w:val="0"/>
      <w:spacing w:after="60"/>
      <w:jc w:val="center"/>
    </w:pPr>
    <w:rPr>
      <w:rFonts w:eastAsia="Times New Roman"/>
      <w:sz w:val="18"/>
      <w:u w:val="single"/>
    </w:rPr>
  </w:style>
  <w:style w:type="paragraph" w:customStyle="1" w:styleId="spNumList2">
    <w:name w:val="spNumList2"/>
    <w:basedOn w:val="spNumList1"/>
    <w:uiPriority w:val="2"/>
    <w:rsid w:val="00034B1B"/>
    <w:pPr>
      <w:ind w:left="1296" w:hanging="432"/>
    </w:pPr>
  </w:style>
  <w:style w:type="paragraph" w:customStyle="1" w:styleId="spNumList3">
    <w:name w:val="spNumList3"/>
    <w:basedOn w:val="spNumList1"/>
    <w:uiPriority w:val="2"/>
    <w:rsid w:val="00034B1B"/>
    <w:pPr>
      <w:ind w:left="1872" w:hanging="576"/>
    </w:pPr>
  </w:style>
  <w:style w:type="paragraph" w:customStyle="1" w:styleId="STSP">
    <w:name w:val="STSP"/>
    <w:link w:val="STSPChar"/>
    <w:uiPriority w:val="19"/>
    <w:qFormat/>
    <w:rsid w:val="00385427"/>
    <w:pPr>
      <w:tabs>
        <w:tab w:val="left" w:pos="432"/>
      </w:tabs>
      <w:spacing w:before="0" w:after="0"/>
    </w:pPr>
    <w:rPr>
      <w:rFonts w:cs="Times New Roman"/>
      <w:sz w:val="18"/>
      <w:szCs w:val="24"/>
    </w:rPr>
  </w:style>
  <w:style w:type="character" w:customStyle="1" w:styleId="STSPChar">
    <w:name w:val="STSP Char"/>
    <w:basedOn w:val="DefaultParagraphFont"/>
    <w:link w:val="STSP"/>
    <w:uiPriority w:val="19"/>
    <w:rsid w:val="00385427"/>
    <w:rPr>
      <w:rFonts w:cs="Times New Roman"/>
      <w:sz w:val="18"/>
      <w:szCs w:val="24"/>
    </w:rPr>
  </w:style>
  <w:style w:type="paragraph" w:customStyle="1" w:styleId="STSPtable">
    <w:name w:val="STSP table"/>
    <w:basedOn w:val="Normal"/>
    <w:uiPriority w:val="19"/>
    <w:semiHidden/>
    <w:rsid w:val="00A9384A"/>
    <w:pPr>
      <w:spacing w:before="0" w:after="0"/>
      <w:jc w:val="center"/>
    </w:pPr>
    <w:rPr>
      <w:rFonts w:cs="Times New Roman"/>
      <w:sz w:val="18"/>
      <w:szCs w:val="22"/>
    </w:rPr>
  </w:style>
  <w:style w:type="paragraph" w:customStyle="1" w:styleId="Table">
    <w:name w:val="Table"/>
    <w:basedOn w:val="Normal"/>
    <w:uiPriority w:val="19"/>
    <w:semiHidden/>
    <w:rsid w:val="00CF6DB0"/>
    <w:pPr>
      <w:tabs>
        <w:tab w:val="left" w:pos="1080"/>
      </w:tabs>
      <w:spacing w:before="0" w:after="0"/>
      <w:jc w:val="center"/>
    </w:pPr>
    <w:rPr>
      <w:rFonts w:cs="Times New Roman"/>
      <w:szCs w:val="24"/>
    </w:rPr>
  </w:style>
  <w:style w:type="character" w:customStyle="1" w:styleId="Heading4Char">
    <w:name w:val="Heading 4 Char"/>
    <w:basedOn w:val="DefaultParagraphFont"/>
    <w:link w:val="Heading4"/>
    <w:uiPriority w:val="99"/>
    <w:semiHidden/>
    <w:rsid w:val="00EF35C2"/>
    <w:rPr>
      <w:rFonts w:eastAsiaTheme="majorEastAsia" w:cstheme="majorBidi"/>
      <w:b/>
      <w:iCs/>
    </w:rPr>
  </w:style>
  <w:style w:type="character" w:customStyle="1" w:styleId="Heading5Char">
    <w:name w:val="Heading 5 Char"/>
    <w:basedOn w:val="DefaultParagraphFont"/>
    <w:link w:val="Heading5"/>
    <w:uiPriority w:val="99"/>
    <w:semiHidden/>
    <w:rsid w:val="00EF35C2"/>
    <w:rPr>
      <w:rFonts w:eastAsiaTheme="majorEastAsia" w:cstheme="majorBidi"/>
      <w:b/>
    </w:rPr>
  </w:style>
  <w:style w:type="character" w:customStyle="1" w:styleId="Heading6Char">
    <w:name w:val="Heading 6 Char"/>
    <w:basedOn w:val="DefaultParagraphFont"/>
    <w:link w:val="Heading6"/>
    <w:uiPriority w:val="99"/>
    <w:semiHidden/>
    <w:rsid w:val="00EF35C2"/>
    <w:rPr>
      <w:rFonts w:eastAsiaTheme="majorEastAsia" w:cstheme="majorBidi"/>
      <w:b/>
    </w:rPr>
  </w:style>
  <w:style w:type="character" w:customStyle="1" w:styleId="Heading7Char">
    <w:name w:val="Heading 7 Char"/>
    <w:basedOn w:val="DefaultParagraphFont"/>
    <w:link w:val="Heading7"/>
    <w:uiPriority w:val="99"/>
    <w:semiHidden/>
    <w:rsid w:val="00EF35C2"/>
    <w:rPr>
      <w:rFonts w:eastAsiaTheme="majorEastAsia" w:cstheme="majorBidi"/>
      <w:b/>
      <w:iCs/>
    </w:rPr>
  </w:style>
  <w:style w:type="character" w:customStyle="1" w:styleId="Heading8Char">
    <w:name w:val="Heading 8 Char"/>
    <w:basedOn w:val="DefaultParagraphFont"/>
    <w:link w:val="Heading8"/>
    <w:uiPriority w:val="99"/>
    <w:semiHidden/>
    <w:rsid w:val="00EF35C2"/>
    <w:rPr>
      <w:rFonts w:eastAsiaTheme="majorEastAsia" w:cstheme="majorBidi"/>
      <w:b/>
      <w:szCs w:val="21"/>
    </w:rPr>
  </w:style>
  <w:style w:type="character" w:customStyle="1" w:styleId="Heading9Char">
    <w:name w:val="Heading 9 Char"/>
    <w:basedOn w:val="DefaultParagraphFont"/>
    <w:link w:val="Heading9"/>
    <w:uiPriority w:val="99"/>
    <w:semiHidden/>
    <w:rsid w:val="00EF35C2"/>
    <w:rPr>
      <w:rFonts w:eastAsiaTheme="majorEastAsia" w:cstheme="majorBidi"/>
      <w:b/>
      <w:iCs/>
      <w:szCs w:val="21"/>
    </w:rPr>
  </w:style>
  <w:style w:type="paragraph" w:styleId="Header">
    <w:name w:val="header"/>
    <w:basedOn w:val="Normal"/>
    <w:link w:val="HeaderChar"/>
    <w:uiPriority w:val="99"/>
    <w:semiHidden/>
    <w:rsid w:val="00235549"/>
  </w:style>
  <w:style w:type="character" w:customStyle="1" w:styleId="HeaderChar">
    <w:name w:val="Header Char"/>
    <w:basedOn w:val="DefaultParagraphFont"/>
    <w:link w:val="Header"/>
    <w:uiPriority w:val="99"/>
    <w:semiHidden/>
    <w:rsid w:val="00235549"/>
  </w:style>
  <w:style w:type="character" w:customStyle="1" w:styleId="TextField">
    <w:name w:val="Text Field"/>
    <w:basedOn w:val="DefaultParagraphFont"/>
    <w:uiPriority w:val="1"/>
    <w:rsid w:val="004F05C1"/>
    <w:rPr>
      <w:sz w:val="24"/>
      <w:shd w:val="clear" w:color="auto" w:fill="D6E3BC" w:themeFill="accent3" w:themeFillTint="66"/>
    </w:rPr>
  </w:style>
  <w:style w:type="character" w:styleId="FollowedHyperlink">
    <w:name w:val="FollowedHyperlink"/>
    <w:basedOn w:val="DefaultParagraphFont"/>
    <w:uiPriority w:val="99"/>
    <w:semiHidden/>
    <w:rsid w:val="00C56C9C"/>
    <w:rPr>
      <w:color w:val="800080" w:themeColor="followedHyperlink"/>
      <w:u w:val="single"/>
    </w:rPr>
  </w:style>
  <w:style w:type="character" w:styleId="UnresolvedMention">
    <w:name w:val="Unresolved Mention"/>
    <w:basedOn w:val="DefaultParagraphFont"/>
    <w:uiPriority w:val="99"/>
    <w:semiHidden/>
    <w:unhideWhenUsed/>
    <w:rsid w:val="00E437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65125">
      <w:bodyDiv w:val="1"/>
      <w:marLeft w:val="0"/>
      <w:marRight w:val="0"/>
      <w:marTop w:val="0"/>
      <w:marBottom w:val="0"/>
      <w:divBdr>
        <w:top w:val="none" w:sz="0" w:space="0" w:color="auto"/>
        <w:left w:val="none" w:sz="0" w:space="0" w:color="auto"/>
        <w:bottom w:val="none" w:sz="0" w:space="0" w:color="auto"/>
        <w:right w:val="none" w:sz="0" w:space="0" w:color="auto"/>
      </w:divBdr>
    </w:div>
    <w:div w:id="91899800">
      <w:bodyDiv w:val="1"/>
      <w:marLeft w:val="0"/>
      <w:marRight w:val="0"/>
      <w:marTop w:val="0"/>
      <w:marBottom w:val="0"/>
      <w:divBdr>
        <w:top w:val="none" w:sz="0" w:space="0" w:color="auto"/>
        <w:left w:val="none" w:sz="0" w:space="0" w:color="auto"/>
        <w:bottom w:val="none" w:sz="0" w:space="0" w:color="auto"/>
        <w:right w:val="none" w:sz="0" w:space="0" w:color="auto"/>
      </w:divBdr>
    </w:div>
    <w:div w:id="354188921">
      <w:bodyDiv w:val="1"/>
      <w:marLeft w:val="0"/>
      <w:marRight w:val="0"/>
      <w:marTop w:val="0"/>
      <w:marBottom w:val="0"/>
      <w:divBdr>
        <w:top w:val="none" w:sz="0" w:space="0" w:color="auto"/>
        <w:left w:val="none" w:sz="0" w:space="0" w:color="auto"/>
        <w:bottom w:val="none" w:sz="0" w:space="0" w:color="auto"/>
        <w:right w:val="none" w:sz="0" w:space="0" w:color="auto"/>
      </w:divBdr>
    </w:div>
    <w:div w:id="383918683">
      <w:bodyDiv w:val="1"/>
      <w:marLeft w:val="0"/>
      <w:marRight w:val="0"/>
      <w:marTop w:val="0"/>
      <w:marBottom w:val="0"/>
      <w:divBdr>
        <w:top w:val="none" w:sz="0" w:space="0" w:color="auto"/>
        <w:left w:val="none" w:sz="0" w:space="0" w:color="auto"/>
        <w:bottom w:val="none" w:sz="0" w:space="0" w:color="auto"/>
        <w:right w:val="none" w:sz="0" w:space="0" w:color="auto"/>
      </w:divBdr>
    </w:div>
    <w:div w:id="430008442">
      <w:bodyDiv w:val="1"/>
      <w:marLeft w:val="0"/>
      <w:marRight w:val="0"/>
      <w:marTop w:val="0"/>
      <w:marBottom w:val="0"/>
      <w:divBdr>
        <w:top w:val="none" w:sz="0" w:space="0" w:color="auto"/>
        <w:left w:val="none" w:sz="0" w:space="0" w:color="auto"/>
        <w:bottom w:val="none" w:sz="0" w:space="0" w:color="auto"/>
        <w:right w:val="none" w:sz="0" w:space="0" w:color="auto"/>
      </w:divBdr>
    </w:div>
    <w:div w:id="462893377">
      <w:bodyDiv w:val="1"/>
      <w:marLeft w:val="0"/>
      <w:marRight w:val="0"/>
      <w:marTop w:val="0"/>
      <w:marBottom w:val="0"/>
      <w:divBdr>
        <w:top w:val="none" w:sz="0" w:space="0" w:color="auto"/>
        <w:left w:val="none" w:sz="0" w:space="0" w:color="auto"/>
        <w:bottom w:val="none" w:sz="0" w:space="0" w:color="auto"/>
        <w:right w:val="none" w:sz="0" w:space="0" w:color="auto"/>
      </w:divBdr>
    </w:div>
    <w:div w:id="636227995">
      <w:bodyDiv w:val="1"/>
      <w:marLeft w:val="0"/>
      <w:marRight w:val="0"/>
      <w:marTop w:val="0"/>
      <w:marBottom w:val="0"/>
      <w:divBdr>
        <w:top w:val="none" w:sz="0" w:space="0" w:color="auto"/>
        <w:left w:val="none" w:sz="0" w:space="0" w:color="auto"/>
        <w:bottom w:val="none" w:sz="0" w:space="0" w:color="auto"/>
        <w:right w:val="none" w:sz="0" w:space="0" w:color="auto"/>
      </w:divBdr>
    </w:div>
    <w:div w:id="640573793">
      <w:bodyDiv w:val="1"/>
      <w:marLeft w:val="0"/>
      <w:marRight w:val="0"/>
      <w:marTop w:val="0"/>
      <w:marBottom w:val="0"/>
      <w:divBdr>
        <w:top w:val="none" w:sz="0" w:space="0" w:color="auto"/>
        <w:left w:val="none" w:sz="0" w:space="0" w:color="auto"/>
        <w:bottom w:val="none" w:sz="0" w:space="0" w:color="auto"/>
        <w:right w:val="none" w:sz="0" w:space="0" w:color="auto"/>
      </w:divBdr>
    </w:div>
    <w:div w:id="735862091">
      <w:bodyDiv w:val="1"/>
      <w:marLeft w:val="0"/>
      <w:marRight w:val="0"/>
      <w:marTop w:val="0"/>
      <w:marBottom w:val="0"/>
      <w:divBdr>
        <w:top w:val="none" w:sz="0" w:space="0" w:color="auto"/>
        <w:left w:val="none" w:sz="0" w:space="0" w:color="auto"/>
        <w:bottom w:val="none" w:sz="0" w:space="0" w:color="auto"/>
        <w:right w:val="none" w:sz="0" w:space="0" w:color="auto"/>
      </w:divBdr>
    </w:div>
    <w:div w:id="1013336209">
      <w:bodyDiv w:val="1"/>
      <w:marLeft w:val="0"/>
      <w:marRight w:val="0"/>
      <w:marTop w:val="0"/>
      <w:marBottom w:val="0"/>
      <w:divBdr>
        <w:top w:val="none" w:sz="0" w:space="0" w:color="auto"/>
        <w:left w:val="none" w:sz="0" w:space="0" w:color="auto"/>
        <w:bottom w:val="none" w:sz="0" w:space="0" w:color="auto"/>
        <w:right w:val="none" w:sz="0" w:space="0" w:color="auto"/>
      </w:divBdr>
    </w:div>
    <w:div w:id="1153331111">
      <w:bodyDiv w:val="1"/>
      <w:marLeft w:val="0"/>
      <w:marRight w:val="0"/>
      <w:marTop w:val="0"/>
      <w:marBottom w:val="0"/>
      <w:divBdr>
        <w:top w:val="none" w:sz="0" w:space="0" w:color="auto"/>
        <w:left w:val="none" w:sz="0" w:space="0" w:color="auto"/>
        <w:bottom w:val="none" w:sz="0" w:space="0" w:color="auto"/>
        <w:right w:val="none" w:sz="0" w:space="0" w:color="auto"/>
      </w:divBdr>
    </w:div>
    <w:div w:id="1281687586">
      <w:bodyDiv w:val="1"/>
      <w:marLeft w:val="0"/>
      <w:marRight w:val="0"/>
      <w:marTop w:val="0"/>
      <w:marBottom w:val="0"/>
      <w:divBdr>
        <w:top w:val="none" w:sz="0" w:space="0" w:color="auto"/>
        <w:left w:val="none" w:sz="0" w:space="0" w:color="auto"/>
        <w:bottom w:val="none" w:sz="0" w:space="0" w:color="auto"/>
        <w:right w:val="none" w:sz="0" w:space="0" w:color="auto"/>
      </w:divBdr>
    </w:div>
    <w:div w:id="1430353627">
      <w:bodyDiv w:val="1"/>
      <w:marLeft w:val="0"/>
      <w:marRight w:val="0"/>
      <w:marTop w:val="0"/>
      <w:marBottom w:val="0"/>
      <w:divBdr>
        <w:top w:val="none" w:sz="0" w:space="0" w:color="auto"/>
        <w:left w:val="none" w:sz="0" w:space="0" w:color="auto"/>
        <w:bottom w:val="none" w:sz="0" w:space="0" w:color="auto"/>
        <w:right w:val="none" w:sz="0" w:space="0" w:color="auto"/>
      </w:divBdr>
    </w:div>
    <w:div w:id="1576432691">
      <w:bodyDiv w:val="1"/>
      <w:marLeft w:val="0"/>
      <w:marRight w:val="0"/>
      <w:marTop w:val="0"/>
      <w:marBottom w:val="0"/>
      <w:divBdr>
        <w:top w:val="none" w:sz="0" w:space="0" w:color="auto"/>
        <w:left w:val="none" w:sz="0" w:space="0" w:color="auto"/>
        <w:bottom w:val="none" w:sz="0" w:space="0" w:color="auto"/>
        <w:right w:val="none" w:sz="0" w:space="0" w:color="auto"/>
      </w:divBdr>
    </w:div>
    <w:div w:id="1643120745">
      <w:bodyDiv w:val="1"/>
      <w:marLeft w:val="0"/>
      <w:marRight w:val="0"/>
      <w:marTop w:val="0"/>
      <w:marBottom w:val="0"/>
      <w:divBdr>
        <w:top w:val="none" w:sz="0" w:space="0" w:color="auto"/>
        <w:left w:val="none" w:sz="0" w:space="0" w:color="auto"/>
        <w:bottom w:val="none" w:sz="0" w:space="0" w:color="auto"/>
        <w:right w:val="none" w:sz="0" w:space="0" w:color="auto"/>
      </w:divBdr>
    </w:div>
    <w:div w:id="1744260870">
      <w:bodyDiv w:val="1"/>
      <w:marLeft w:val="0"/>
      <w:marRight w:val="0"/>
      <w:marTop w:val="0"/>
      <w:marBottom w:val="0"/>
      <w:divBdr>
        <w:top w:val="none" w:sz="0" w:space="0" w:color="auto"/>
        <w:left w:val="none" w:sz="0" w:space="0" w:color="auto"/>
        <w:bottom w:val="none" w:sz="0" w:space="0" w:color="auto"/>
        <w:right w:val="none" w:sz="0" w:space="0" w:color="auto"/>
      </w:divBdr>
    </w:div>
    <w:div w:id="1817985368">
      <w:bodyDiv w:val="1"/>
      <w:marLeft w:val="0"/>
      <w:marRight w:val="0"/>
      <w:marTop w:val="0"/>
      <w:marBottom w:val="0"/>
      <w:divBdr>
        <w:top w:val="none" w:sz="0" w:space="0" w:color="auto"/>
        <w:left w:val="none" w:sz="0" w:space="0" w:color="auto"/>
        <w:bottom w:val="none" w:sz="0" w:space="0" w:color="auto"/>
        <w:right w:val="none" w:sz="0" w:space="0" w:color="auto"/>
      </w:divBdr>
    </w:div>
    <w:div w:id="1856648474">
      <w:bodyDiv w:val="1"/>
      <w:marLeft w:val="0"/>
      <w:marRight w:val="0"/>
      <w:marTop w:val="0"/>
      <w:marBottom w:val="0"/>
      <w:divBdr>
        <w:top w:val="none" w:sz="0" w:space="0" w:color="auto"/>
        <w:left w:val="none" w:sz="0" w:space="0" w:color="auto"/>
        <w:bottom w:val="none" w:sz="0" w:space="0" w:color="auto"/>
        <w:right w:val="none" w:sz="0" w:space="0" w:color="auto"/>
      </w:divBdr>
    </w:div>
    <w:div w:id="2029719573">
      <w:bodyDiv w:val="1"/>
      <w:marLeft w:val="0"/>
      <w:marRight w:val="0"/>
      <w:marTop w:val="0"/>
      <w:marBottom w:val="0"/>
      <w:divBdr>
        <w:top w:val="none" w:sz="0" w:space="0" w:color="auto"/>
        <w:left w:val="none" w:sz="0" w:space="0" w:color="auto"/>
        <w:bottom w:val="none" w:sz="0" w:space="0" w:color="auto"/>
        <w:right w:val="none" w:sz="0" w:space="0" w:color="auto"/>
      </w:divBdr>
    </w:div>
    <w:div w:id="2120484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isconsindot.gov/Pages/doing-bus/eng-consultants/cnslt-rsrces/tools/appr-prod/default.asp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isconsindot.gov/Documents/formdocs/dt2329.doc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TDLStructuresFabrication@dot.wi.go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TA3B\AppData\Local\Microsoft\Windows\INetCache\Content.Outlook\0UQL0U61\new-stsp-template%20(14)%20(002).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4F54288C657724180ED1312F00F45E4" ma:contentTypeVersion="1" ma:contentTypeDescription="Create a new document." ma:contentTypeScope="" ma:versionID="bb5a3f6e397b1690cf6564841654f2a0">
  <xsd:schema xmlns:xsd="http://www.w3.org/2001/XMLSchema" xmlns:xs="http://www.w3.org/2001/XMLSchema" xmlns:p="http://schemas.microsoft.com/office/2006/metadata/properties" xmlns:ns2="a8b72882-1d02-4704-8464-4e9c6e9dc531" targetNamespace="http://schemas.microsoft.com/office/2006/metadata/properties" ma:root="true" ma:fieldsID="5705412253ba870b06423a56f97807aa" ns2:_="">
    <xsd:import namespace="a8b72882-1d02-4704-8464-4e9c6e9dc531"/>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b72882-1d02-4704-8464-4e9c6e9dc53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8EC413-3E6E-441E-956D-15816746465A}">
  <ds:schemaRefs>
    <ds:schemaRef ds:uri="http://schemas.microsoft.com/sharepoint/v3/contenttype/forms"/>
  </ds:schemaRefs>
</ds:datastoreItem>
</file>

<file path=customXml/itemProps2.xml><?xml version="1.0" encoding="utf-8"?>
<ds:datastoreItem xmlns:ds="http://schemas.openxmlformats.org/officeDocument/2006/customXml" ds:itemID="{2F0D2824-EF66-4F5F-A08E-051827D7C84E}">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CDEAC42C-AC02-4093-9750-362D646B4BE2}">
  <ds:schemaRefs>
    <ds:schemaRef ds:uri="http://schemas.openxmlformats.org/officeDocument/2006/bibliography"/>
  </ds:schemaRefs>
</ds:datastoreItem>
</file>

<file path=customXml/itemProps4.xml><?xml version="1.0" encoding="utf-8"?>
<ds:datastoreItem xmlns:ds="http://schemas.openxmlformats.org/officeDocument/2006/customXml" ds:itemID="{9FF858B7-CEE3-4627-9A2D-FAA21A580C58}"/>
</file>

<file path=docProps/app.xml><?xml version="1.0" encoding="utf-8"?>
<Properties xmlns="http://schemas.openxmlformats.org/officeDocument/2006/extended-properties" xmlns:vt="http://schemas.openxmlformats.org/officeDocument/2006/docPropsVTypes">
  <Template>new-stsp-template (14) (002).dotm</Template>
  <TotalTime>56</TotalTime>
  <Pages>8</Pages>
  <Words>4492</Words>
  <Characters>25609</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STSP Template</vt:lpstr>
    </vt:vector>
  </TitlesOfParts>
  <Company/>
  <LinksUpToDate>false</LinksUpToDate>
  <CharactersWithSpaces>30041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STSP Template</dc:title>
  <dc:subject>Template for building special provisions</dc:subject>
  <dc:creator>BONK, AARON M</dc:creator>
  <cp:keywords>STSP, template, special provisions, building blocks</cp:keywords>
  <cp:lastModifiedBy>Bonk, Aaron M - DOT</cp:lastModifiedBy>
  <cp:revision>16</cp:revision>
  <cp:lastPrinted>2013-06-26T16:11:00Z</cp:lastPrinted>
  <dcterms:created xsi:type="dcterms:W3CDTF">2026-05-19T19:00:00Z</dcterms:created>
  <dcterms:modified xsi:type="dcterms:W3CDTF">2026-05-29T12:42:00Z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0x01010084F54288C657724180ED1312F00F45E4</vt:lpwstr>
  </property>
</Properties>
</file>