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A2C90" w14:textId="77777777" w:rsidR="000B5256" w:rsidRPr="000B5256" w:rsidRDefault="000B5256" w:rsidP="000B5256">
      <w:pPr>
        <w:pStyle w:val="wiComment"/>
        <w:rPr>
          <w:bCs/>
          <w:iCs/>
        </w:rPr>
      </w:pPr>
      <w:r w:rsidRPr="000B5256">
        <w:rPr>
          <w:bCs/>
          <w:iCs/>
          <w:highlight w:val="yellow"/>
        </w:rPr>
        <w:t>DELETE ALL DESIGNER NOTES FROM YOUR SPECIAL PROVISIONS</w:t>
      </w:r>
    </w:p>
    <w:p w14:paraId="3D5C5E9D" w14:textId="77777777" w:rsidR="000B5256" w:rsidRPr="000B5256" w:rsidRDefault="000B5256" w:rsidP="000B5256">
      <w:pPr>
        <w:pStyle w:val="wiComment"/>
        <w:rPr>
          <w:bCs/>
          <w:iCs/>
        </w:rPr>
      </w:pPr>
      <w:r w:rsidRPr="000B5256">
        <w:rPr>
          <w:bCs/>
          <w:iCs/>
        </w:rPr>
        <w:t xml:space="preserve">In Section B.3.4, the designer shall provide a project specific tensile strength at 2% strain value necessary to satisfy internal stability design requirements. </w:t>
      </w:r>
    </w:p>
    <w:p w14:paraId="7D92B33E" w14:textId="4728AD83" w:rsidR="00D27DE4" w:rsidRPr="00151F07" w:rsidRDefault="000B5256" w:rsidP="00D27DE4">
      <w:pPr>
        <w:pStyle w:val="1Heading1"/>
        <w:numPr>
          <w:ilvl w:val="0"/>
          <w:numId w:val="1"/>
        </w:numPr>
        <w:spacing w:line="259" w:lineRule="auto"/>
        <w:ind w:left="0" w:hanging="720"/>
        <w:rPr>
          <w:szCs w:val="22"/>
        </w:rPr>
      </w:pPr>
      <w:r w:rsidRPr="000B5256">
        <w:rPr>
          <w:szCs w:val="22"/>
        </w:rPr>
        <w:t xml:space="preserve">Geosynthetic Reinforced Soil Abutment </w:t>
      </w:r>
      <w:r w:rsidRPr="004518A4">
        <w:rPr>
          <w:szCs w:val="22"/>
          <w:highlight w:val="lightGray"/>
        </w:rPr>
        <w:t>B-XX-XXX</w:t>
      </w:r>
      <w:r w:rsidRPr="000B5256">
        <w:rPr>
          <w:szCs w:val="22"/>
        </w:rPr>
        <w:t>, Item SPV.0165.</w:t>
      </w:r>
      <w:r w:rsidR="004518A4">
        <w:rPr>
          <w:szCs w:val="22"/>
        </w:rPr>
        <w:t>xx</w:t>
      </w:r>
      <w:r w:rsidRPr="000B5256">
        <w:rPr>
          <w:szCs w:val="22"/>
        </w:rPr>
        <w:t>.</w:t>
      </w:r>
    </w:p>
    <w:p w14:paraId="7FF353BF" w14:textId="77777777" w:rsidR="00D27DE4" w:rsidRPr="00A555F9" w:rsidRDefault="00D27DE4" w:rsidP="00AF79FF">
      <w:pPr>
        <w:pStyle w:val="spParagraph"/>
        <w:rPr>
          <w:rStyle w:val="spHeading"/>
        </w:rPr>
      </w:pPr>
      <w:r w:rsidRPr="00A555F9">
        <w:rPr>
          <w:rStyle w:val="spHeading"/>
        </w:rPr>
        <w:t>A  Description</w:t>
      </w:r>
    </w:p>
    <w:p w14:paraId="34E0BAE7" w14:textId="4EFB2E2E" w:rsidR="00D27DE4" w:rsidRDefault="000B5256" w:rsidP="00AF79FF">
      <w:pPr>
        <w:pStyle w:val="spParagraph"/>
      </w:pPr>
      <w:r w:rsidRPr="000B5256">
        <w:t>This special provision describes designing, furnishing materials, and erecting a permanent earth retention system in accordance to the lines, dimension, elevations and details as shown on the plans. The design life of the abutment and all abutment components shall be 75 years.</w:t>
      </w:r>
    </w:p>
    <w:p w14:paraId="2C6EF4C7" w14:textId="77777777" w:rsidR="00D27DE4" w:rsidRPr="00A555F9" w:rsidRDefault="00D27DE4" w:rsidP="00AF79FF">
      <w:pPr>
        <w:pStyle w:val="spParagraph"/>
        <w:rPr>
          <w:rStyle w:val="spHeading"/>
        </w:rPr>
      </w:pPr>
      <w:r w:rsidRPr="00A555F9">
        <w:rPr>
          <w:rStyle w:val="spHeading"/>
        </w:rPr>
        <w:t>B  Materials</w:t>
      </w:r>
    </w:p>
    <w:p w14:paraId="73679D69" w14:textId="68B26C77" w:rsidR="000B5256" w:rsidRPr="000B5256" w:rsidRDefault="000B5256" w:rsidP="000B5256">
      <w:pPr>
        <w:pStyle w:val="spParagraph"/>
        <w:rPr>
          <w:b/>
        </w:rPr>
      </w:pPr>
      <w:r w:rsidRPr="000B5256">
        <w:rPr>
          <w:b/>
        </w:rPr>
        <w:t>B.1 Geosynthetic Reinforced Soil Abutment</w:t>
      </w:r>
    </w:p>
    <w:p w14:paraId="73A7DC41" w14:textId="421A8D2D" w:rsidR="000B5256" w:rsidRPr="000B5256" w:rsidRDefault="000B5256" w:rsidP="000B5256">
      <w:pPr>
        <w:pStyle w:val="spParagraph"/>
      </w:pPr>
      <w:r w:rsidRPr="000B5256">
        <w:t>The Geosynthetic Reinforced Soil (GRS) Abutment consists of Reinforced Soil Foundation (RSF), modular block, open graded base course, base aggregate dense, and geotextile.</w:t>
      </w:r>
    </w:p>
    <w:p w14:paraId="2F30D13A" w14:textId="0FA6CF64" w:rsidR="000B5256" w:rsidRPr="000B5256" w:rsidRDefault="000B5256" w:rsidP="000B5256">
      <w:pPr>
        <w:pStyle w:val="spParagraph"/>
      </w:pPr>
      <w:r w:rsidRPr="000B5256">
        <w:t>The GRS Abutment shall be in compliance with WisDOT’s current Standard Specifications for Highway and Structure Construction (standard spec).</w:t>
      </w:r>
    </w:p>
    <w:p w14:paraId="7ED776EF" w14:textId="77777777" w:rsidR="000B5256" w:rsidRPr="000B5256" w:rsidRDefault="000B5256" w:rsidP="000B5256">
      <w:pPr>
        <w:pStyle w:val="spParagraph"/>
        <w:rPr>
          <w:b/>
        </w:rPr>
      </w:pPr>
      <w:r w:rsidRPr="000B5256">
        <w:rPr>
          <w:b/>
        </w:rPr>
        <w:t>B.2 Design Requirements</w:t>
      </w:r>
    </w:p>
    <w:p w14:paraId="6ACC574F" w14:textId="0D6EF337" w:rsidR="000B5256" w:rsidRPr="000B5256" w:rsidRDefault="000B5256" w:rsidP="000B5256">
      <w:pPr>
        <w:pStyle w:val="spParagraph"/>
      </w:pPr>
      <w:r w:rsidRPr="000B5256">
        <w:t>It is the responsibility of the contractor to submit shop drawings and supporting documentation as required by this special provision, for review and acceptance by the department, to show the proposed design is in compliance with the design specifications. The submittal shall include the following items for review: detailed shop drawings, certified independent test data for the geosynthetic reinforcement, supporting materials, and specifications. The detailed shop drawings shall include all details, dimensions, quantities and cross-sections necessary to construct the walls. Abutment reinforcement shop drawings shall include at least two plan views, representative of successive layers, indicating the reinforcement roll width, the machine direction, the cross-machine direction, and reinforcement seam locations. Abutment facing shop drawings shall include block type, block batter, block spacing, and block layout. Submit shop drawings to the engineer conforming to 105.2 with electronic submittal to the fabrication library under 105.2.2. Department review does not relieve the contractor from responsibility for errors or omissions on shop drawings. Submit no later than 60 days from the date of notification to proceed with the project and a minimum of 30 days prior to the date proposed to begin wall construction.</w:t>
      </w:r>
    </w:p>
    <w:p w14:paraId="41376D04" w14:textId="74754E2F" w:rsidR="000B5256" w:rsidRPr="000B5256" w:rsidRDefault="000B5256" w:rsidP="000B5256">
      <w:pPr>
        <w:pStyle w:val="spParagraph"/>
      </w:pPr>
      <w:r w:rsidRPr="000B5256">
        <w:t>The plans and shop drawings shall be prepared on reproducible sheets 11 inch x 17 inch, including borders. Each sheet shall have a title block in the lower right corner. The title block shall include the WisDOT project identification number and structure number. Notes and other supporting documentation shall be on 8 ½ inch x 11 inch sheets.</w:t>
      </w:r>
    </w:p>
    <w:p w14:paraId="065DFE22" w14:textId="77777777" w:rsidR="000B5256" w:rsidRPr="000B5256" w:rsidRDefault="000B5256" w:rsidP="000B5256">
      <w:pPr>
        <w:pStyle w:val="spParagraph"/>
        <w:rPr>
          <w:b/>
        </w:rPr>
      </w:pPr>
      <w:r w:rsidRPr="000B5256">
        <w:rPr>
          <w:b/>
        </w:rPr>
        <w:t>B.3 Abutment System Components</w:t>
      </w:r>
    </w:p>
    <w:p w14:paraId="5EEB235C" w14:textId="77777777" w:rsidR="000B5256" w:rsidRPr="000B5256" w:rsidRDefault="000B5256" w:rsidP="000B5256">
      <w:pPr>
        <w:pStyle w:val="spParagraph"/>
        <w:rPr>
          <w:b/>
        </w:rPr>
      </w:pPr>
      <w:r w:rsidRPr="000B5256">
        <w:rPr>
          <w:b/>
        </w:rPr>
        <w:t>B.3.1 Reinforced Soil Foundation (RSF)</w:t>
      </w:r>
    </w:p>
    <w:p w14:paraId="2617DABE" w14:textId="53454CAC" w:rsidR="000B5256" w:rsidRPr="000B5256" w:rsidRDefault="000B5256" w:rsidP="000B5256">
      <w:pPr>
        <w:pStyle w:val="spParagraph"/>
      </w:pPr>
      <w:r w:rsidRPr="000B5256">
        <w:t>The RSF as shown on the plans shall be wrapped with a geotextile on all sides and support the GRS abutment.  The RSF shall be either a Base Aggregate Dense 1-1/4 inch conforming to standard spec 305 or an Open Graded Base conforming to standard spec 310.  If the bottom of the RSF is above the 100-year water elevation, only the Base Aggregate Dense is allowed.  Aggregate material shall be virgin crushed stone or crushed gravel.</w:t>
      </w:r>
    </w:p>
    <w:p w14:paraId="7C2F8442" w14:textId="77777777" w:rsidR="000B5256" w:rsidRPr="000B5256" w:rsidRDefault="000B5256" w:rsidP="000B5256">
      <w:pPr>
        <w:pStyle w:val="spParagraph"/>
        <w:rPr>
          <w:b/>
        </w:rPr>
      </w:pPr>
      <w:r w:rsidRPr="000B5256">
        <w:rPr>
          <w:b/>
        </w:rPr>
        <w:t>B.3.2 Integrated Approach</w:t>
      </w:r>
    </w:p>
    <w:p w14:paraId="6BEAB86A" w14:textId="249B3608" w:rsidR="000B5256" w:rsidRPr="000B5256" w:rsidRDefault="000B5256" w:rsidP="000B5256">
      <w:pPr>
        <w:pStyle w:val="spParagraph"/>
      </w:pPr>
      <w:r w:rsidRPr="000B5256">
        <w:t>An integrated approach as shown on the plans shall be a base aggregate dense conforming to standard spec 305.  Aggregate material shall be virgin crushed stone or crushed gravel.</w:t>
      </w:r>
    </w:p>
    <w:p w14:paraId="26B1BA0A" w14:textId="77777777" w:rsidR="000B5256" w:rsidRPr="000B5256" w:rsidRDefault="000B5256" w:rsidP="000B5256">
      <w:pPr>
        <w:pStyle w:val="spParagraph"/>
        <w:rPr>
          <w:b/>
        </w:rPr>
      </w:pPr>
      <w:r w:rsidRPr="000B5256">
        <w:rPr>
          <w:b/>
        </w:rPr>
        <w:t>B.3.3 Abutment Facing</w:t>
      </w:r>
    </w:p>
    <w:p w14:paraId="698E8A7F" w14:textId="717498AF" w:rsidR="000B5256" w:rsidRPr="000B5256" w:rsidRDefault="000B5256" w:rsidP="000B5256">
      <w:pPr>
        <w:pStyle w:val="spParagraph"/>
      </w:pPr>
      <w:r w:rsidRPr="000B5256">
        <w:t>Abutment facing units shall consist of precast modular concrete blocks from the Approved Products List. Blocks shall be installed conforming to the accepted shop drawings.</w:t>
      </w:r>
    </w:p>
    <w:p w14:paraId="463E055E" w14:textId="2112723A" w:rsidR="000B5256" w:rsidRPr="000B5256" w:rsidRDefault="000B5256" w:rsidP="000B5256">
      <w:pPr>
        <w:pStyle w:val="spParagraph"/>
      </w:pPr>
      <w:r w:rsidRPr="000B5256">
        <w:t xml:space="preserve">Dry-cast concrete blocks shall be manufactured conforming to ASTM C1372 and this specification. </w:t>
      </w:r>
    </w:p>
    <w:p w14:paraId="2081E872" w14:textId="5BB4F043" w:rsidR="000B5256" w:rsidRPr="000B5256" w:rsidRDefault="000B5256" w:rsidP="000B5256">
      <w:pPr>
        <w:pStyle w:val="spParagraph"/>
      </w:pPr>
      <w:r w:rsidRPr="000B5256">
        <w:t xml:space="preserve">All units shall incorporate a mechanism or devices that develop a mechanical connection between vertical block layers. Units that are broken, have cracks wider than 0.02” and longer than 25% of the nominal height of the unit, chips larger than 1”, have excessive efflorescence, or are otherwise deemed unacceptable by the engineer, shall not be used within the wall. A single block type and style shall be used throughout each abutment. The color and surface texture of the block shall be as given on the plan </w:t>
      </w:r>
      <w:r w:rsidRPr="000B5256">
        <w:lastRenderedPageBreak/>
        <w:t xml:space="preserve">or chosen from the manufacturer’s standard colors, by the engineer.  Corners shall be constructed as per block manufacturer’s recommendation.  </w:t>
      </w:r>
    </w:p>
    <w:p w14:paraId="32BF1456" w14:textId="77777777" w:rsidR="000B5256" w:rsidRPr="000B5256" w:rsidRDefault="000B5256" w:rsidP="000B5256">
      <w:pPr>
        <w:pStyle w:val="spParagraph"/>
      </w:pPr>
      <w:r w:rsidRPr="000B5256">
        <w:t>If the blocks are solid, the top three courses of facing units shall be a solid precast concrete unit designed to be compatible with the remainder of the abutment. The finishing three courses shall be bonded to the underlying facing units with the manufacturer’s recommended adhesive, which shall be a durable, high strength, flexible adhesive compound compatible with the block material.</w:t>
      </w:r>
    </w:p>
    <w:p w14:paraId="24081F83" w14:textId="128B1CB2" w:rsidR="00206170" w:rsidRPr="00206170" w:rsidRDefault="00206170" w:rsidP="00206170">
      <w:pPr>
        <w:pStyle w:val="spParagraph"/>
        <w:rPr>
          <w:b/>
        </w:rPr>
      </w:pPr>
      <w:r w:rsidRPr="00206170">
        <w:t>If the blocks have cavities, then the top three courses blocks shall have the cavities filled with concrete and reinforcement steel. The vertical dimension of the cap shall not be less than 4 inches. Concrete for filling all block voids shall be grade A</w:t>
      </w:r>
      <w:r>
        <w:t xml:space="preserve"> </w:t>
      </w:r>
      <w:r w:rsidRPr="00206170">
        <w:t>conforming to standard spec 501 as modified in standard spec 716. Provide QMP for class III ancillary concrete as specified in standard spec 716.  Reinforcing steel shall conform to standard spec 505.</w:t>
      </w:r>
    </w:p>
    <w:p w14:paraId="2D678D92" w14:textId="7DD88E02" w:rsidR="00206170" w:rsidRPr="00206170" w:rsidRDefault="00206170" w:rsidP="00206170">
      <w:pPr>
        <w:pStyle w:val="spParagraph"/>
      </w:pPr>
      <w:r w:rsidRPr="00206170">
        <w:t>Block dimensions may vary no more than ±1/8-inch from the standard values published by the manufacturer. Blocks must have a minimum depth (front face to back face) of 12 inches. Blocks must have a minimum height of 8 inches and a maximum height of 12 inches. The block height shall not exceed the reinforcement spacing shown on the plans. The minimum front face thickness of blocks shall be 4 inches measured perpendicular from the front face to inside voids greater than 4 square inches. Also the minimum allowed thickness of any other portions of the block is 1-3/4 inches. The front face of the blocks shall conform to plan requirements for color, texture, or patterns.</w:t>
      </w:r>
    </w:p>
    <w:p w14:paraId="78AEF839" w14:textId="77777777" w:rsidR="00206170" w:rsidRPr="00206170" w:rsidRDefault="00206170" w:rsidP="00206170">
      <w:pPr>
        <w:pStyle w:val="spParagraph"/>
      </w:pPr>
      <w:r w:rsidRPr="00206170">
        <w:t xml:space="preserve">Cementitious materials and aggregates for modular blocks shall conform to the requirements of ASTM C1372 Section 4.1 and 4.2. Modular blocks shall meet the following requirements. </w:t>
      </w:r>
    </w:p>
    <w:tbl>
      <w:tblPr>
        <w:tblStyle w:val="TableGrid"/>
        <w:tblW w:w="0" w:type="auto"/>
        <w:jc w:val="center"/>
        <w:tblLook w:val="04A0" w:firstRow="1" w:lastRow="0" w:firstColumn="1" w:lastColumn="0" w:noHBand="0" w:noVBand="1"/>
      </w:tblPr>
      <w:tblGrid>
        <w:gridCol w:w="2605"/>
        <w:gridCol w:w="2069"/>
        <w:gridCol w:w="2338"/>
      </w:tblGrid>
      <w:tr w:rsidR="00206170" w:rsidRPr="008F502E" w14:paraId="41CD2528" w14:textId="77777777" w:rsidTr="00B93072">
        <w:trPr>
          <w:jc w:val="center"/>
        </w:trPr>
        <w:tc>
          <w:tcPr>
            <w:tcW w:w="2605" w:type="dxa"/>
          </w:tcPr>
          <w:p w14:paraId="67D4FDCB" w14:textId="74BF5769" w:rsidR="00206170" w:rsidRPr="00206170" w:rsidRDefault="00206170" w:rsidP="00206170">
            <w:pPr>
              <w:pStyle w:val="spTable"/>
              <w:rPr>
                <w:b/>
                <w:bCs/>
              </w:rPr>
            </w:pPr>
            <w:r w:rsidRPr="00206170">
              <w:rPr>
                <w:b/>
                <w:bCs/>
              </w:rPr>
              <w:t>Test</w:t>
            </w:r>
          </w:p>
        </w:tc>
        <w:tc>
          <w:tcPr>
            <w:tcW w:w="2069" w:type="dxa"/>
          </w:tcPr>
          <w:p w14:paraId="7119467C" w14:textId="0C25A2E5" w:rsidR="00206170" w:rsidRPr="00206170" w:rsidRDefault="00206170" w:rsidP="00206170">
            <w:pPr>
              <w:pStyle w:val="spTable"/>
              <w:rPr>
                <w:b/>
                <w:bCs/>
              </w:rPr>
            </w:pPr>
            <w:r w:rsidRPr="00206170">
              <w:rPr>
                <w:b/>
                <w:bCs/>
              </w:rPr>
              <w:t>Method</w:t>
            </w:r>
          </w:p>
        </w:tc>
        <w:tc>
          <w:tcPr>
            <w:tcW w:w="2338" w:type="dxa"/>
          </w:tcPr>
          <w:p w14:paraId="71B1F8E8" w14:textId="2968B039" w:rsidR="00206170" w:rsidRPr="00206170" w:rsidRDefault="00206170" w:rsidP="00206170">
            <w:pPr>
              <w:pStyle w:val="spTable"/>
              <w:rPr>
                <w:b/>
                <w:bCs/>
              </w:rPr>
            </w:pPr>
            <w:r w:rsidRPr="00206170">
              <w:rPr>
                <w:b/>
                <w:bCs/>
              </w:rPr>
              <w:t>Requirement</w:t>
            </w:r>
          </w:p>
        </w:tc>
      </w:tr>
      <w:tr w:rsidR="00206170" w:rsidRPr="008F502E" w14:paraId="37DC4717" w14:textId="77777777" w:rsidTr="00B93072">
        <w:trPr>
          <w:jc w:val="center"/>
        </w:trPr>
        <w:tc>
          <w:tcPr>
            <w:tcW w:w="2605" w:type="dxa"/>
          </w:tcPr>
          <w:p w14:paraId="761759A0" w14:textId="683CDC02" w:rsidR="00206170" w:rsidRPr="008F502E" w:rsidRDefault="00206170" w:rsidP="00206170">
            <w:pPr>
              <w:pStyle w:val="spTable"/>
            </w:pPr>
            <w:r w:rsidRPr="00381346">
              <w:t>Compressive Strength (psi)</w:t>
            </w:r>
          </w:p>
        </w:tc>
        <w:tc>
          <w:tcPr>
            <w:tcW w:w="2069" w:type="dxa"/>
          </w:tcPr>
          <w:p w14:paraId="78D6571E" w14:textId="510F04D1" w:rsidR="00206170" w:rsidRPr="008F502E" w:rsidRDefault="00206170" w:rsidP="00206170">
            <w:pPr>
              <w:pStyle w:val="spTable"/>
            </w:pPr>
            <w:r w:rsidRPr="00381346">
              <w:t>ASTM C140</w:t>
            </w:r>
          </w:p>
        </w:tc>
        <w:tc>
          <w:tcPr>
            <w:tcW w:w="2338" w:type="dxa"/>
          </w:tcPr>
          <w:p w14:paraId="51D90DD0" w14:textId="3E72F518" w:rsidR="00206170" w:rsidRPr="008F502E" w:rsidRDefault="00206170" w:rsidP="00206170">
            <w:pPr>
              <w:pStyle w:val="spTable"/>
            </w:pPr>
            <w:r w:rsidRPr="00381346">
              <w:t>5000 min.</w:t>
            </w:r>
          </w:p>
        </w:tc>
      </w:tr>
      <w:tr w:rsidR="00206170" w:rsidRPr="008F502E" w14:paraId="2BD7504E" w14:textId="77777777" w:rsidTr="00B93072">
        <w:trPr>
          <w:jc w:val="center"/>
        </w:trPr>
        <w:tc>
          <w:tcPr>
            <w:tcW w:w="2605" w:type="dxa"/>
          </w:tcPr>
          <w:p w14:paraId="18A016BF" w14:textId="7D51ED80" w:rsidR="00206170" w:rsidRPr="008F502E" w:rsidRDefault="00206170" w:rsidP="00206170">
            <w:pPr>
              <w:pStyle w:val="spTable"/>
            </w:pPr>
            <w:r w:rsidRPr="00094AF7">
              <w:t>Water Absorption (%)</w:t>
            </w:r>
          </w:p>
        </w:tc>
        <w:tc>
          <w:tcPr>
            <w:tcW w:w="2069" w:type="dxa"/>
          </w:tcPr>
          <w:p w14:paraId="50956B9C" w14:textId="6FDEE2CF" w:rsidR="00206170" w:rsidRPr="008F502E" w:rsidRDefault="00206170" w:rsidP="00206170">
            <w:pPr>
              <w:pStyle w:val="spTable"/>
            </w:pPr>
            <w:r w:rsidRPr="00094AF7">
              <w:t>ASTM C140</w:t>
            </w:r>
          </w:p>
        </w:tc>
        <w:tc>
          <w:tcPr>
            <w:tcW w:w="2338" w:type="dxa"/>
          </w:tcPr>
          <w:p w14:paraId="0F4E31CA" w14:textId="47E6FAB1" w:rsidR="00206170" w:rsidRPr="008F502E" w:rsidRDefault="00206170" w:rsidP="00206170">
            <w:pPr>
              <w:pStyle w:val="spTable"/>
            </w:pPr>
            <w:r w:rsidRPr="00206170">
              <w:t>6 max.</w:t>
            </w:r>
            <w:r w:rsidRPr="00206170">
              <w:rPr>
                <w:vertAlign w:val="superscript"/>
              </w:rPr>
              <w:t>[3]</w:t>
            </w:r>
          </w:p>
        </w:tc>
      </w:tr>
      <w:tr w:rsidR="00206170" w:rsidRPr="008F502E" w14:paraId="40488BB2" w14:textId="77777777" w:rsidTr="00B93072">
        <w:trPr>
          <w:jc w:val="center"/>
        </w:trPr>
        <w:tc>
          <w:tcPr>
            <w:tcW w:w="2605" w:type="dxa"/>
          </w:tcPr>
          <w:p w14:paraId="11D2B255" w14:textId="77777777" w:rsidR="00206170" w:rsidRPr="00206170" w:rsidRDefault="00206170" w:rsidP="00206170">
            <w:pPr>
              <w:pStyle w:val="spTable"/>
            </w:pPr>
            <w:r w:rsidRPr="00206170">
              <w:t>Freeze-Thaw Loss (%)</w:t>
            </w:r>
          </w:p>
          <w:p w14:paraId="5B100ED0" w14:textId="77777777" w:rsidR="00206170" w:rsidRPr="00206170" w:rsidRDefault="00206170" w:rsidP="00206170">
            <w:pPr>
              <w:pStyle w:val="spTable"/>
            </w:pPr>
            <w:r w:rsidRPr="00206170">
              <w:t>40 cycles, 5 of 5 samples</w:t>
            </w:r>
          </w:p>
          <w:p w14:paraId="12A7B73D" w14:textId="12153AA6" w:rsidR="00206170" w:rsidRPr="008F502E" w:rsidRDefault="00206170" w:rsidP="00206170">
            <w:pPr>
              <w:pStyle w:val="spTable"/>
            </w:pPr>
            <w:r w:rsidRPr="00206170">
              <w:t>50 cycles, 4 of 5 samples</w:t>
            </w:r>
          </w:p>
        </w:tc>
        <w:tc>
          <w:tcPr>
            <w:tcW w:w="2069" w:type="dxa"/>
          </w:tcPr>
          <w:p w14:paraId="7BE282A6" w14:textId="77777777" w:rsidR="00206170" w:rsidRDefault="00206170" w:rsidP="007D736E">
            <w:pPr>
              <w:pStyle w:val="spTable"/>
            </w:pPr>
          </w:p>
          <w:p w14:paraId="472D4BE4" w14:textId="66F90FDD" w:rsidR="00206170" w:rsidRPr="008F502E" w:rsidRDefault="00206170" w:rsidP="007D736E">
            <w:pPr>
              <w:pStyle w:val="spTable"/>
            </w:pPr>
            <w:r w:rsidRPr="00206170">
              <w:t>ASTM C1262</w:t>
            </w:r>
            <w:r w:rsidRPr="00206170">
              <w:rPr>
                <w:vertAlign w:val="superscript"/>
              </w:rPr>
              <w:t>[1]</w:t>
            </w:r>
          </w:p>
        </w:tc>
        <w:tc>
          <w:tcPr>
            <w:tcW w:w="2338" w:type="dxa"/>
          </w:tcPr>
          <w:p w14:paraId="24DD9A71" w14:textId="77777777" w:rsidR="00206170" w:rsidRDefault="00206170" w:rsidP="00206170">
            <w:pPr>
              <w:pStyle w:val="spTable"/>
            </w:pPr>
          </w:p>
          <w:p w14:paraId="48B864CC" w14:textId="075D644D" w:rsidR="00206170" w:rsidRPr="00206170" w:rsidRDefault="00206170" w:rsidP="00206170">
            <w:pPr>
              <w:pStyle w:val="spTable"/>
            </w:pPr>
            <w:r w:rsidRPr="00206170">
              <w:t>1.0 max.</w:t>
            </w:r>
            <w:r w:rsidRPr="00206170">
              <w:rPr>
                <w:vertAlign w:val="superscript"/>
              </w:rPr>
              <w:t>[2][3]</w:t>
            </w:r>
          </w:p>
          <w:p w14:paraId="2FC55487" w14:textId="64FFBC46" w:rsidR="00206170" w:rsidRPr="008F502E" w:rsidRDefault="00206170" w:rsidP="00206170">
            <w:pPr>
              <w:pStyle w:val="spTable"/>
            </w:pPr>
            <w:r w:rsidRPr="00206170">
              <w:t>1.5 max.</w:t>
            </w:r>
            <w:r w:rsidRPr="00206170">
              <w:rPr>
                <w:vertAlign w:val="superscript"/>
              </w:rPr>
              <w:t>[2][3]</w:t>
            </w:r>
          </w:p>
        </w:tc>
      </w:tr>
    </w:tbl>
    <w:p w14:paraId="0F53CEE5" w14:textId="77777777" w:rsidR="00B93072" w:rsidRPr="00B93072" w:rsidRDefault="00B93072" w:rsidP="00B93072">
      <w:pPr>
        <w:pStyle w:val="spParagraph"/>
        <w:ind w:left="1170" w:right="90" w:hanging="360"/>
        <w:rPr>
          <w:sz w:val="16"/>
          <w:szCs w:val="16"/>
        </w:rPr>
      </w:pPr>
      <w:r w:rsidRPr="00B93072">
        <w:rPr>
          <w:sz w:val="16"/>
          <w:szCs w:val="16"/>
        </w:rPr>
        <w:t>[1]   Test shall be run using a 3% saline solution and blocks greater than 45 days old.</w:t>
      </w:r>
    </w:p>
    <w:p w14:paraId="1D34D32D" w14:textId="77777777" w:rsidR="00B93072" w:rsidRPr="00B93072" w:rsidRDefault="00B93072" w:rsidP="00B93072">
      <w:pPr>
        <w:pStyle w:val="spParagraph"/>
        <w:ind w:left="1170" w:right="90" w:hanging="360"/>
        <w:rPr>
          <w:sz w:val="16"/>
          <w:szCs w:val="16"/>
        </w:rPr>
      </w:pPr>
      <w:r w:rsidRPr="00B93072">
        <w:rPr>
          <w:sz w:val="16"/>
          <w:szCs w:val="16"/>
        </w:rPr>
        <w:t>[2]   Test results that meet either of the listed requirements for Freeze-Thaw Loss are acceptable.</w:t>
      </w:r>
    </w:p>
    <w:p w14:paraId="0E9630BB" w14:textId="1FCE0252" w:rsidR="00B93072" w:rsidRPr="00B93072" w:rsidRDefault="00B93072" w:rsidP="00B93072">
      <w:pPr>
        <w:pStyle w:val="spParagraph"/>
        <w:ind w:left="1170" w:right="90" w:hanging="360"/>
        <w:rPr>
          <w:sz w:val="16"/>
          <w:szCs w:val="16"/>
          <w:vertAlign w:val="superscript"/>
        </w:rPr>
      </w:pPr>
      <w:r w:rsidRPr="00B93072">
        <w:rPr>
          <w:sz w:val="16"/>
          <w:szCs w:val="16"/>
        </w:rPr>
        <w:t>[3]   The independent testing laboratory shall control and conduct all sampling and testing. Prior to sampling, the manufacturer’s representative shall identify materials by lot.  Five blocks per lot shall be randomly selected for testing. Solid blocks used as a finishing or top course shall not be selected. The selected blocks shall remain under the control of the person who conducted the sampling until shipped or delivered to the testing laboratory. All pallets of blocks within a lot shall be strapped or wrapped to secure the contents and tagged or marked for identification. The engineer will reject any pallet of blocks delivered to the project without intact security measures. At no expense to the department, the contractor shall remove all rejected blocks from the project. If a random sample of five blocks of any lot tested by the department fails to meet any of the above testing requirements, the entire lot will be considered non-conforming.</w:t>
      </w:r>
    </w:p>
    <w:p w14:paraId="2064E4C2" w14:textId="4E84D3DE" w:rsidR="00B9080A" w:rsidRPr="00B9080A" w:rsidRDefault="00B9080A" w:rsidP="00B9080A">
      <w:pPr>
        <w:pStyle w:val="spParagraph"/>
      </w:pPr>
      <w:r w:rsidRPr="00B9080A">
        <w:t xml:space="preserve">The contractor and fabricator shall coordinate with the independent testing agency to ensure that strength samples can be taken appropriately during manufacturing. At the time of delivery of materials, furnish the engineer a certified report of test from an AASHTO-registered or ASTM-accredited independent testing laboratory for each lot. </w:t>
      </w:r>
    </w:p>
    <w:p w14:paraId="59A8A364" w14:textId="77777777" w:rsidR="00B9080A" w:rsidRPr="00B9080A" w:rsidRDefault="00B9080A" w:rsidP="00B9080A">
      <w:pPr>
        <w:pStyle w:val="spParagraph"/>
      </w:pPr>
      <w:r w:rsidRPr="00B9080A">
        <w:t xml:space="preserve">The certified test report shall include the following: </w:t>
      </w:r>
    </w:p>
    <w:p w14:paraId="35912705" w14:textId="77777777" w:rsidR="00B9080A" w:rsidRPr="00B9080A" w:rsidRDefault="00B9080A" w:rsidP="00B9080A">
      <w:pPr>
        <w:pStyle w:val="spParagraph"/>
        <w:numPr>
          <w:ilvl w:val="0"/>
          <w:numId w:val="55"/>
        </w:numPr>
        <w:ind w:left="630" w:hanging="270"/>
        <w:rPr>
          <w:sz w:val="18"/>
          <w:szCs w:val="18"/>
        </w:rPr>
      </w:pPr>
      <w:r w:rsidRPr="00B9080A">
        <w:rPr>
          <w:sz w:val="18"/>
          <w:szCs w:val="18"/>
        </w:rPr>
        <w:t>Project ID</w:t>
      </w:r>
    </w:p>
    <w:p w14:paraId="1C92AFAE" w14:textId="77777777" w:rsidR="00B9080A" w:rsidRPr="00B9080A" w:rsidRDefault="00B9080A" w:rsidP="00B9080A">
      <w:pPr>
        <w:pStyle w:val="spParagraph"/>
        <w:numPr>
          <w:ilvl w:val="0"/>
          <w:numId w:val="55"/>
        </w:numPr>
        <w:ind w:left="630" w:hanging="270"/>
        <w:rPr>
          <w:sz w:val="18"/>
          <w:szCs w:val="18"/>
        </w:rPr>
      </w:pPr>
      <w:r w:rsidRPr="00B9080A">
        <w:rPr>
          <w:sz w:val="18"/>
          <w:szCs w:val="18"/>
        </w:rPr>
        <w:t>Production process used (dry-cast)</w:t>
      </w:r>
    </w:p>
    <w:p w14:paraId="426A56EA" w14:textId="77777777" w:rsidR="00B9080A" w:rsidRPr="00B9080A" w:rsidRDefault="00B9080A" w:rsidP="00B9080A">
      <w:pPr>
        <w:pStyle w:val="spParagraph"/>
        <w:numPr>
          <w:ilvl w:val="0"/>
          <w:numId w:val="55"/>
        </w:numPr>
        <w:ind w:left="630" w:hanging="270"/>
        <w:rPr>
          <w:sz w:val="18"/>
          <w:szCs w:val="18"/>
        </w:rPr>
      </w:pPr>
      <w:r w:rsidRPr="00B9080A">
        <w:rPr>
          <w:sz w:val="18"/>
          <w:szCs w:val="18"/>
        </w:rPr>
        <w:t>Name and location of testing facility</w:t>
      </w:r>
    </w:p>
    <w:p w14:paraId="04952B66" w14:textId="77777777" w:rsidR="00B9080A" w:rsidRPr="00B9080A" w:rsidRDefault="00B9080A" w:rsidP="00B9080A">
      <w:pPr>
        <w:pStyle w:val="spParagraph"/>
        <w:numPr>
          <w:ilvl w:val="0"/>
          <w:numId w:val="55"/>
        </w:numPr>
        <w:ind w:left="630" w:hanging="270"/>
        <w:rPr>
          <w:sz w:val="18"/>
          <w:szCs w:val="18"/>
        </w:rPr>
      </w:pPr>
      <w:r w:rsidRPr="00B9080A">
        <w:rPr>
          <w:sz w:val="18"/>
          <w:szCs w:val="18"/>
        </w:rPr>
        <w:t>Name of sampling technician</w:t>
      </w:r>
    </w:p>
    <w:p w14:paraId="6A5AE488" w14:textId="1D3A93CF" w:rsidR="00B9080A" w:rsidRPr="00B9080A" w:rsidRDefault="00B9080A" w:rsidP="00B9080A">
      <w:pPr>
        <w:pStyle w:val="spParagraph"/>
        <w:numPr>
          <w:ilvl w:val="0"/>
          <w:numId w:val="55"/>
        </w:numPr>
        <w:ind w:left="630" w:hanging="270"/>
        <w:rPr>
          <w:sz w:val="18"/>
          <w:szCs w:val="18"/>
        </w:rPr>
      </w:pPr>
      <w:r w:rsidRPr="00B9080A">
        <w:rPr>
          <w:sz w:val="18"/>
          <w:szCs w:val="18"/>
        </w:rPr>
        <w:t xml:space="preserve">Lot number and lot size </w:t>
      </w:r>
    </w:p>
    <w:p w14:paraId="22869168" w14:textId="3B189A17" w:rsidR="00B9080A" w:rsidRPr="00B9080A" w:rsidRDefault="00B9080A" w:rsidP="00B9080A">
      <w:pPr>
        <w:pStyle w:val="spParagraph"/>
      </w:pPr>
      <w:r w:rsidRPr="00B9080A">
        <w:t>Testing of project materials shall be completed not more than 18 months prior to delivery. Independent testing frequency shall not exceed 5000 blocks. The certified test results will represent all blocks within the lot. Each pallet of blocks delivered shall bear lot identification information. Block lots that do not meet the requirements of this specification or blocks without supporting certified test reports will be rejected and shall be removed from the project at no expense to the department.</w:t>
      </w:r>
    </w:p>
    <w:p w14:paraId="1F8504B8" w14:textId="77777777" w:rsidR="00B9080A" w:rsidRPr="00B9080A" w:rsidRDefault="00B9080A" w:rsidP="00B9080A">
      <w:pPr>
        <w:pStyle w:val="spParagraph"/>
      </w:pPr>
      <w:r w:rsidRPr="00B9080A">
        <w:t>Nonconforming materials will be subject to evaluation per standard spec 106.5.</w:t>
      </w:r>
    </w:p>
    <w:p w14:paraId="1A189BF1" w14:textId="77777777" w:rsidR="00B9080A" w:rsidRPr="00B9080A" w:rsidRDefault="00B9080A" w:rsidP="00B9080A">
      <w:pPr>
        <w:pStyle w:val="spParagraph"/>
        <w:rPr>
          <w:b/>
        </w:rPr>
      </w:pPr>
      <w:r w:rsidRPr="00B9080A">
        <w:rPr>
          <w:b/>
        </w:rPr>
        <w:lastRenderedPageBreak/>
        <w:t xml:space="preserve">B.3.4 Geotextile </w:t>
      </w:r>
    </w:p>
    <w:p w14:paraId="676C56FB" w14:textId="5A711D66" w:rsidR="00B9080A" w:rsidRPr="00B9080A" w:rsidRDefault="00B9080A" w:rsidP="00B9080A">
      <w:pPr>
        <w:pStyle w:val="spParagraph"/>
      </w:pPr>
      <w:r w:rsidRPr="00B9080A">
        <w:t>Geotextile supplied as reinforcing for the abutment and integrated approach and wrapping of the RSF shall be a biaxial woven polyester, polypropylene, stabilized nylon, polyethylene or polyvinylidene chloride geotextile.</w:t>
      </w:r>
    </w:p>
    <w:p w14:paraId="548BEDFD" w14:textId="4081C43F" w:rsidR="00B9080A" w:rsidRPr="00B9080A" w:rsidRDefault="00B9080A" w:rsidP="00B9080A">
      <w:pPr>
        <w:pStyle w:val="spParagraph"/>
      </w:pPr>
      <w:r w:rsidRPr="00B9080A">
        <w:t xml:space="preserve">Provide certified independent test data documenting the minimum average roll values (MARV) for the ultimate tensile strength and strength at 2 percent strain in both the machine direction and cross machine direction. Tests shall be performed in accordance with ASTM D4595 at a strain rate of 10 percent per minute. The MARV ultimate tensile strength shall be greater than or equal to 4,800 lb/ft and the MARV tensile strength at 2 percent strain shall be greater than </w:t>
      </w:r>
      <w:r w:rsidRPr="00B9080A">
        <w:rPr>
          <w:highlight w:val="darkGray"/>
        </w:rPr>
        <w:t>XXXX</w:t>
      </w:r>
      <w:r w:rsidRPr="00B9080A">
        <w:t xml:space="preserve"> lb/ft, unless noted otherwise on the plans. The department may obtain material samples for testing from the job site.</w:t>
      </w:r>
    </w:p>
    <w:p w14:paraId="1735DB67" w14:textId="77777777" w:rsidR="00B9080A" w:rsidRPr="00B9080A" w:rsidRDefault="00B9080A" w:rsidP="00B9080A">
      <w:pPr>
        <w:pStyle w:val="spParagraph"/>
        <w:rPr>
          <w:b/>
        </w:rPr>
      </w:pPr>
      <w:r w:rsidRPr="00B9080A">
        <w:rPr>
          <w:b/>
        </w:rPr>
        <w:t>B.3.5 Connectors</w:t>
      </w:r>
    </w:p>
    <w:p w14:paraId="05652D99" w14:textId="4D5277D5" w:rsidR="00B9080A" w:rsidRPr="00B9080A" w:rsidRDefault="00B9080A" w:rsidP="00B9080A">
      <w:pPr>
        <w:pStyle w:val="spParagraph"/>
      </w:pPr>
      <w:r w:rsidRPr="00B9080A">
        <w:t>Pins, rods, clips, or other devices used to develop mechanical interlock between facing unit block layers shall be manufactured from corrosion resistant materials. Furnish documentation that establishes and substantiates the design life of such devices.</w:t>
      </w:r>
    </w:p>
    <w:p w14:paraId="1592E7B4" w14:textId="77777777" w:rsidR="00B9080A" w:rsidRPr="00B9080A" w:rsidRDefault="00B9080A" w:rsidP="00B9080A">
      <w:pPr>
        <w:pStyle w:val="spParagraph"/>
        <w:rPr>
          <w:b/>
        </w:rPr>
      </w:pPr>
      <w:r w:rsidRPr="00B9080A">
        <w:rPr>
          <w:b/>
        </w:rPr>
        <w:t>B.3.6 Backfill Materials</w:t>
      </w:r>
    </w:p>
    <w:p w14:paraId="1BA59E71" w14:textId="6FCC0323" w:rsidR="00B9080A" w:rsidRPr="00B9080A" w:rsidRDefault="00B9080A" w:rsidP="00B9080A">
      <w:pPr>
        <w:pStyle w:val="spParagraph"/>
      </w:pPr>
      <w:r w:rsidRPr="00B9080A">
        <w:t>Abutment backfill shall comply with the requirements for Open Graded Base as given in standard spec 310. Aggregate material shall be virgin crushed stone or crushed gravel.  All backfill placed within a zone from the top of the RSF to the top of the final layer of abutment facing units and for the full length of the geotextile shall be abutment backfill. This includes all material used to fill openings in the abutment facing units.</w:t>
      </w:r>
    </w:p>
    <w:p w14:paraId="3960608A" w14:textId="1E3EE293" w:rsidR="00B9080A" w:rsidRPr="00B9080A" w:rsidRDefault="00B9080A" w:rsidP="00B9080A">
      <w:pPr>
        <w:pStyle w:val="spParagraph"/>
      </w:pPr>
      <w:r w:rsidRPr="00B9080A">
        <w:t>All backfill used within the reinforced zone shall have a pH of 4.5 to 10 as determined by AASHTO Procedure T-289.  Prior to placement of the backfill, obtain and furnish to the engineer certified test results that the backfill material complies with the requirements of this specification.</w:t>
      </w:r>
    </w:p>
    <w:p w14:paraId="4548BDDE" w14:textId="6D86D4E0" w:rsidR="00B9080A" w:rsidRPr="00B9080A" w:rsidRDefault="00B9080A" w:rsidP="00B9080A">
      <w:pPr>
        <w:pStyle w:val="spParagraph"/>
      </w:pPr>
      <w:r w:rsidRPr="00B9080A">
        <w:t>The minimum value of the angle of internal friction of the abutment backfill material shall be 38 degrees.  The friction angle shall be determined using the abutment backfill and a large shear box (minimum dimension 12 inches) and ASTM D3080 with confining pressures of 7.5 psi, 15 psi and 30 psi and compacted to a dry density of 95.0 percent of the maximum dry density as determined by AASHTO T99.</w:t>
      </w:r>
    </w:p>
    <w:p w14:paraId="71C5C363" w14:textId="68A18D68" w:rsidR="00B9080A" w:rsidRPr="00B9080A" w:rsidRDefault="00B9080A" w:rsidP="00B9080A">
      <w:pPr>
        <w:pStyle w:val="spParagraph"/>
      </w:pPr>
      <w:r w:rsidRPr="00B9080A">
        <w:t>All other backfill materials required to finish the abutment and restore the ground surface may be select material available on the project that meets the engineer’s approval.</w:t>
      </w:r>
    </w:p>
    <w:p w14:paraId="4AE5A586" w14:textId="77777777" w:rsidR="00B9080A" w:rsidRPr="00B9080A" w:rsidRDefault="00B9080A" w:rsidP="00B9080A">
      <w:pPr>
        <w:pStyle w:val="spParagraph"/>
        <w:rPr>
          <w:b/>
        </w:rPr>
      </w:pPr>
      <w:r w:rsidRPr="00B9080A">
        <w:rPr>
          <w:b/>
        </w:rPr>
        <w:t>B.3.7 Expanded Polystyrene</w:t>
      </w:r>
    </w:p>
    <w:p w14:paraId="37B14D5C" w14:textId="18BACEB0" w:rsidR="00D27DE4" w:rsidRDefault="00B9080A" w:rsidP="008A099A">
      <w:pPr>
        <w:pStyle w:val="spParagraph"/>
      </w:pPr>
      <w:r w:rsidRPr="00B9080A">
        <w:t>Use rigid cellular polystyrene that meets the requirements of ASTM C578, Classification Type IV (4) and has a minimum density of 1.6 pcf, and minimum compressive strength of 25 psi.</w:t>
      </w:r>
    </w:p>
    <w:p w14:paraId="27F19ECF" w14:textId="77777777" w:rsidR="00D27DE4" w:rsidRPr="00A555F9" w:rsidRDefault="00D27DE4" w:rsidP="00AF79FF">
      <w:pPr>
        <w:pStyle w:val="spParagraph"/>
        <w:rPr>
          <w:rStyle w:val="spHeading"/>
        </w:rPr>
      </w:pPr>
      <w:r w:rsidRPr="00A555F9">
        <w:rPr>
          <w:rStyle w:val="spHeading"/>
        </w:rPr>
        <w:t>C  Construction</w:t>
      </w:r>
    </w:p>
    <w:p w14:paraId="6061F212" w14:textId="77777777" w:rsidR="00B9080A" w:rsidRPr="00B9080A" w:rsidRDefault="00B9080A" w:rsidP="00B9080A">
      <w:pPr>
        <w:pStyle w:val="spParagraph"/>
        <w:rPr>
          <w:b/>
        </w:rPr>
      </w:pPr>
      <w:r w:rsidRPr="00B9080A">
        <w:rPr>
          <w:b/>
        </w:rPr>
        <w:t>C.1 General</w:t>
      </w:r>
    </w:p>
    <w:p w14:paraId="4C4D740D" w14:textId="27913CDA" w:rsidR="00B9080A" w:rsidRPr="00B9080A" w:rsidRDefault="00B9080A" w:rsidP="00B9080A">
      <w:pPr>
        <w:pStyle w:val="spParagraph"/>
      </w:pPr>
      <w:r w:rsidRPr="00B9080A">
        <w:t>Place the abutment facing units conforming to the manufacturer’s instructions and to the lines, elevations, batter, and tolerances as shown on the plans. Place the initial layer of facing units on the RSF; then level them and properly align them. A thin layer of fine aggregate, which shall not exceed 1/4-inch, may be used on top of the RSF to facilitate leveling.  If the leveling layer required exceeds 1/4-inch, a mortar or grout shall be used.  Fill formed voids or openings in the facing units with abutment backfill. Sweep clean all debris on each layer of facing units before placing the next layer of facing units.</w:t>
      </w:r>
    </w:p>
    <w:p w14:paraId="47639D48" w14:textId="09D84B91" w:rsidR="00B9080A" w:rsidRPr="00B9080A" w:rsidRDefault="00B9080A" w:rsidP="00B9080A">
      <w:pPr>
        <w:pStyle w:val="spParagraph"/>
      </w:pPr>
      <w:r w:rsidRPr="00B9080A">
        <w:t>Install all pins, rods, clips, or other devices used to develop mechanical interlock between facing unit layers in accordance to the manufacturer’s directions.</w:t>
      </w:r>
    </w:p>
    <w:p w14:paraId="32CF4524" w14:textId="49D7C162" w:rsidR="00B9080A" w:rsidRPr="00B9080A" w:rsidRDefault="00B9080A" w:rsidP="00B9080A">
      <w:pPr>
        <w:pStyle w:val="spParagraph"/>
      </w:pPr>
      <w:r w:rsidRPr="00B9080A">
        <w:t xml:space="preserve">All excavation for the GRS Abutment shall conform to standard spec 206. At the end of each working day, provide good temporary drainage such that the backfill shall not become contaminated with run-off soil or water if it should rain. Do not stockpile or store materials or large equipment within 10 feet of the front face of the abutment.  </w:t>
      </w:r>
    </w:p>
    <w:p w14:paraId="0C455573" w14:textId="75229FEB" w:rsidR="00B9080A" w:rsidRPr="00B9080A" w:rsidRDefault="00B9080A" w:rsidP="00B9080A">
      <w:pPr>
        <w:pStyle w:val="spParagraph"/>
      </w:pPr>
      <w:r w:rsidRPr="00B9080A">
        <w:t>Any misalignment or movement (greater than or equal to 1/2-inch in 10 feet) of the GRS abutment or facing due to construction loads or operations shall be corrected.</w:t>
      </w:r>
    </w:p>
    <w:p w14:paraId="5AEBE3CF" w14:textId="77777777" w:rsidR="00B9080A" w:rsidRPr="00B9080A" w:rsidRDefault="00B9080A" w:rsidP="00B9080A">
      <w:pPr>
        <w:pStyle w:val="spParagraph"/>
        <w:rPr>
          <w:b/>
        </w:rPr>
      </w:pPr>
      <w:r w:rsidRPr="00B9080A">
        <w:rPr>
          <w:b/>
        </w:rPr>
        <w:t>C.2 Reinforced Soil Foundation</w:t>
      </w:r>
    </w:p>
    <w:p w14:paraId="6504025F" w14:textId="4C5DF9F9" w:rsidR="00B9080A" w:rsidRPr="00B9080A" w:rsidRDefault="00B9080A" w:rsidP="00B9080A">
      <w:pPr>
        <w:pStyle w:val="spParagraph"/>
      </w:pPr>
      <w:r w:rsidRPr="00B9080A">
        <w:t xml:space="preserve">Compact RSF aggregate to a dry density of 95.0% of the maximum dry density as determined by AASHTO T-99.  If open graded base course gradation is such that nuclear density testing is not possible, contractor will complete compaction with a minimum of four passes of a vibratory compactor, or until there </w:t>
      </w:r>
      <w:r w:rsidRPr="00B9080A">
        <w:lastRenderedPageBreak/>
        <w:t>is no further significant consolidation, as determined by the engineer. Lift thickness for the RSF aggregate shall not exceed 8 inches in depth unless otherwise shown in the plans, or as the engineer directs.</w:t>
      </w:r>
    </w:p>
    <w:p w14:paraId="3E3F0E13" w14:textId="4C4BAC2F" w:rsidR="00B9080A" w:rsidRPr="00B9080A" w:rsidRDefault="00B9080A" w:rsidP="00B9080A">
      <w:pPr>
        <w:pStyle w:val="spParagraph"/>
      </w:pPr>
      <w:r w:rsidRPr="00B9080A">
        <w:t>The RSF fill material shall be graded, leveled, and compacted before encapsulating with the geotextile reinforcement.  The geotextile shall fully enclose the RSF on the face and the wing wall sides. The reinforcement sheet shall overlap a minimum of 3 feet.</w:t>
      </w:r>
    </w:p>
    <w:p w14:paraId="140BB3C4" w14:textId="77777777" w:rsidR="00B9080A" w:rsidRPr="00B9080A" w:rsidRDefault="00B9080A" w:rsidP="00B9080A">
      <w:pPr>
        <w:pStyle w:val="spParagraph"/>
        <w:rPr>
          <w:b/>
        </w:rPr>
      </w:pPr>
      <w:r w:rsidRPr="00B9080A">
        <w:rPr>
          <w:b/>
        </w:rPr>
        <w:t>C.3 Abutment Backfill</w:t>
      </w:r>
    </w:p>
    <w:p w14:paraId="25079EAB" w14:textId="0E19620A" w:rsidR="00B9080A" w:rsidRPr="00B9080A" w:rsidRDefault="00B9080A" w:rsidP="00B9080A">
      <w:pPr>
        <w:pStyle w:val="spParagraph"/>
      </w:pPr>
      <w:r w:rsidRPr="00B9080A">
        <w:t>Place abutment backfill materials in the areas as indicated on the plans and as detailed in this specification. Abutment backfill lifts shall be no more than 8 inches or the distance between reinforcement layers (whichever is smaller) in depth unless otherwise shown in the plans. Backfilling shall closely follow erection of each course of abutment facing units. Compact abutment backfill with at least three passes of lightweight manually operated compaction equipment acceptable to the engineer.</w:t>
      </w:r>
    </w:p>
    <w:p w14:paraId="428C147F" w14:textId="7ED2E0BC" w:rsidR="00B9080A" w:rsidRPr="00B9080A" w:rsidRDefault="00B9080A" w:rsidP="00B9080A">
      <w:pPr>
        <w:pStyle w:val="spParagraph"/>
      </w:pPr>
      <w:r w:rsidRPr="00B9080A">
        <w:t xml:space="preserve">Compact abutment backfill as specified in standard spec 207.3.6, as modified herein. Compact Abutment Backfill to 95.0% of maximum dry density as determined by AASHTO T99, Method D. Perform compaction testing on the backfill. When performing nuclear testing, use a nuclear gauge from the department’s approved list, ensure that the operator is a HTCP certified Nuclear Density Technician I, and conform to CMM 8-15 for testing and gauge monitoring methods. Conduct testing at a minimum frequency of 1 test per 16 inch layer per 200 feet of abutment, or major portion thereof. Test sites shall be selected using ASTM Method D3665.  If open graded base course gradation is such that nuclear density testing is not possible, contractor will complete compaction with a minimum of four passes of a vibratory compactor, or until there is no further significant consolidation, as determined by the engineer. Deliver documentation of all compaction testing results to the engineer at the time of testing. The department may perform quality control compaction tests to ensure compliance with standard spec 207.3.6. </w:t>
      </w:r>
    </w:p>
    <w:p w14:paraId="4817D78D" w14:textId="7B049AF5" w:rsidR="00B9080A" w:rsidRPr="00B9080A" w:rsidRDefault="00B9080A" w:rsidP="00B9080A">
      <w:pPr>
        <w:pStyle w:val="spParagraph"/>
      </w:pPr>
      <w:r w:rsidRPr="00B9080A">
        <w:t>Conduct backfilling operations in such a manner as to prevent damage or misalignment of the abutment facing units, soil reinforcement, or other abutment components. Place backfill from the facing backward to prevent formation of wrinkles in reinforcement. Correct any such damage or misalignment as directed by the engineer. A field representative of the abutment supplier shall be available during abutment construction to provide technical assistance to the contractor and the engineer.</w:t>
      </w:r>
    </w:p>
    <w:p w14:paraId="2146FC87" w14:textId="7AB9A335" w:rsidR="00B9080A" w:rsidRPr="00B9080A" w:rsidRDefault="00B9080A" w:rsidP="00B9080A">
      <w:pPr>
        <w:pStyle w:val="spParagraph"/>
      </w:pPr>
      <w:r w:rsidRPr="00B9080A">
        <w:t>Place and compact the backfill to the level of the next higher layer of reinforcement before placing the reinforcement or connecting it to the abutment facing. Place and compact material beyond the reinforced soil zone to allow for proper compaction of material within the reinforced zone.  The reinforcement shall lay horizontally on top of the most recently placed and compacted layer of backfill.</w:t>
      </w:r>
    </w:p>
    <w:p w14:paraId="67ABA10B" w14:textId="3EB73259" w:rsidR="00B9080A" w:rsidRPr="00B9080A" w:rsidRDefault="00B9080A" w:rsidP="00B9080A">
      <w:pPr>
        <w:pStyle w:val="spParagraph"/>
      </w:pPr>
      <w:r w:rsidRPr="00B9080A">
        <w:t>Do not operate tracked or wheeled equipment on the backfill within 3 feet from the back face of modular blocks. The engineer may order the removal of any large or heavy equipment that may cause damage or misalignment of the abutment facing units.  Do not use sheepsfoot or padfoot rollers within the reinforced soil zone.</w:t>
      </w:r>
    </w:p>
    <w:p w14:paraId="3E4E1FFA" w14:textId="77777777" w:rsidR="00B9080A" w:rsidRPr="00B9080A" w:rsidRDefault="00B9080A" w:rsidP="00B9080A">
      <w:pPr>
        <w:pStyle w:val="spParagraph"/>
        <w:rPr>
          <w:b/>
        </w:rPr>
      </w:pPr>
      <w:r w:rsidRPr="00B9080A">
        <w:rPr>
          <w:b/>
        </w:rPr>
        <w:t>C.4 Geotextile Layers</w:t>
      </w:r>
    </w:p>
    <w:p w14:paraId="2D640D9F" w14:textId="1513512F" w:rsidR="00B9080A" w:rsidRPr="00B9080A" w:rsidRDefault="00B9080A" w:rsidP="00B9080A">
      <w:pPr>
        <w:pStyle w:val="spParagraph"/>
      </w:pPr>
      <w:r w:rsidRPr="00B9080A">
        <w:t xml:space="preserve">Place and anchor geotextile material between abutment unit layers as shown on the plans. All seams in the geotextile material shall be staggered at least 24-inch apart for each successive layer. All seams of geotextile material located beneath the footprint of the bridge seat shall be perpendicular to the abutment wall face. Do not operate wheeled or tracked equipment directly on the geotextile. A minimum cover of 6 inches is required before such operation is allowed. Geotextile seams may be connected with straps, rings, hooks or other mechanical devices to prevent movement during backfilling operations. Prior to placing backfill on the geotextile, pull the geotextile taut, smooth all wrinkles, and hold in position with pins, stakes or other methods approved by the engineer. </w:t>
      </w:r>
      <w:bookmarkStart w:id="0" w:name="_Hlk51850646"/>
      <w:r w:rsidRPr="00B9080A">
        <w:t>Overlapping of geotextile material is not required. Geotextile material shall not overlap between facing units.</w:t>
      </w:r>
      <w:bookmarkEnd w:id="0"/>
    </w:p>
    <w:p w14:paraId="726B4AE0" w14:textId="77777777" w:rsidR="00B9080A" w:rsidRPr="00B9080A" w:rsidRDefault="00B9080A" w:rsidP="00B9080A">
      <w:pPr>
        <w:pStyle w:val="spParagraph"/>
        <w:rPr>
          <w:b/>
        </w:rPr>
      </w:pPr>
      <w:r w:rsidRPr="00B9080A">
        <w:rPr>
          <w:b/>
        </w:rPr>
        <w:t>C.5 Geotechnical Information</w:t>
      </w:r>
    </w:p>
    <w:p w14:paraId="4C3B752C" w14:textId="19246378" w:rsidR="00B9080A" w:rsidRDefault="00B9080A" w:rsidP="00B9080A">
      <w:pPr>
        <w:pStyle w:val="spParagraph"/>
      </w:pPr>
      <w:r w:rsidRPr="00B9080A">
        <w:t>Geotechnical data to be used in the design of the abutment is given on the abutment plan. The factored bearing resistance is given on the plan. After completion of excavation, the department’s Regional Soils Engineer will inspect the site and will determine if the foundation is adequate for the intended loads. Allow the Regional Soils Engineer two working days to perform the inspection.</w:t>
      </w:r>
    </w:p>
    <w:p w14:paraId="301BEAF7" w14:textId="77777777" w:rsidR="00D27DE4" w:rsidRPr="00A555F9" w:rsidRDefault="00D27DE4" w:rsidP="00AF79FF">
      <w:pPr>
        <w:pStyle w:val="spParagraph"/>
        <w:rPr>
          <w:rStyle w:val="spHeading"/>
        </w:rPr>
      </w:pPr>
      <w:r w:rsidRPr="00A555F9">
        <w:rPr>
          <w:rStyle w:val="spHeading"/>
        </w:rPr>
        <w:t>D  Measurement</w:t>
      </w:r>
    </w:p>
    <w:p w14:paraId="3A11C652" w14:textId="3625DA6C" w:rsidR="00D27DE4" w:rsidRDefault="00B9080A" w:rsidP="00AF79FF">
      <w:pPr>
        <w:pStyle w:val="spParagraph"/>
      </w:pPr>
      <w:r w:rsidRPr="00B9080A">
        <w:t xml:space="preserve">The department will measure Geosynthetic Reinforced Soil Abutment </w:t>
      </w:r>
      <w:r w:rsidR="004518A4" w:rsidRPr="004518A4">
        <w:rPr>
          <w:highlight w:val="lightGray"/>
        </w:rPr>
        <w:t>B-XX-XXX</w:t>
      </w:r>
      <w:r w:rsidR="004518A4" w:rsidRPr="00B9080A">
        <w:t xml:space="preserve"> </w:t>
      </w:r>
      <w:r w:rsidRPr="00B9080A">
        <w:t xml:space="preserve">by the square foot acceptably completed, measured at the front face of wall as defined by the pay limits the contract plans show. Unless the Engineer directs in writing, a change to the limits indicated on the contract plan, wall area constructed above or below these limits will not be measured for payment. </w:t>
      </w:r>
    </w:p>
    <w:p w14:paraId="56F2014B" w14:textId="77777777" w:rsidR="00D27DE4" w:rsidRPr="00A555F9" w:rsidRDefault="00D27DE4" w:rsidP="00AF79FF">
      <w:pPr>
        <w:pStyle w:val="spParagraph"/>
        <w:rPr>
          <w:rStyle w:val="spHeading"/>
        </w:rPr>
      </w:pPr>
      <w:r w:rsidRPr="00A555F9">
        <w:rPr>
          <w:rStyle w:val="spHeading"/>
        </w:rPr>
        <w:lastRenderedPageBreak/>
        <w:t>E  Payment</w:t>
      </w:r>
    </w:p>
    <w:p w14:paraId="7FCE6721" w14:textId="77777777" w:rsidR="00B9080A" w:rsidRPr="00B9080A" w:rsidRDefault="00B9080A" w:rsidP="00B9080A">
      <w:pPr>
        <w:pStyle w:val="spParagraph"/>
      </w:pPr>
      <w:r w:rsidRPr="00B9080A">
        <w:t>The department will pay for accepted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4F82389E" w:rsidR="00D27DE4" w:rsidRPr="00137756" w:rsidRDefault="00B9080A" w:rsidP="00B9066A">
      <w:pPr>
        <w:pStyle w:val="ssBidItem"/>
      </w:pPr>
      <w:r w:rsidRPr="00B9080A">
        <w:t>SPV.0165.XX</w:t>
      </w:r>
      <w:r w:rsidR="00D27DE4" w:rsidRPr="00137756">
        <w:tab/>
      </w:r>
      <w:r w:rsidRPr="00B9080A">
        <w:t xml:space="preserve">Geosynthetic Reinforced Soil Abutment </w:t>
      </w:r>
      <w:r w:rsidRPr="004518A4">
        <w:rPr>
          <w:highlight w:val="lightGray"/>
        </w:rPr>
        <w:t>B-XX-XXX</w:t>
      </w:r>
      <w:r w:rsidR="00D27DE4">
        <w:tab/>
      </w:r>
      <w:r>
        <w:t>SF</w:t>
      </w:r>
    </w:p>
    <w:p w14:paraId="7F26C394" w14:textId="57091532" w:rsidR="00B9080A" w:rsidRPr="00B9080A" w:rsidRDefault="00B9080A" w:rsidP="00B9080A">
      <w:pPr>
        <w:pStyle w:val="spParagraph"/>
      </w:pPr>
      <w:r w:rsidRPr="00B9080A">
        <w:t xml:space="preserve">Payment for Geosynthetic Reinforced Soil Abutment </w:t>
      </w:r>
      <w:r w:rsidRPr="004518A4">
        <w:rPr>
          <w:highlight w:val="lightGray"/>
        </w:rPr>
        <w:t>B-XX-XXX</w:t>
      </w:r>
      <w:r w:rsidRPr="00B9080A">
        <w:t xml:space="preserve"> is full compensation for supplying a complete block layout and shop drawings (including block batter and spacing); preparing the site, including all necessary excavation and disposal of surplus materials; supplying all necessary abutment components to produce a functional system including geotextile for reinforcement, geotextile around RSF, RSF aggregate, cap and copings, concrete and adhesive for upper block courses; constructing the retaining system; providing backfill, backfilling, and performing compaction testing; supplying and placing expanded polystyrene and cap blocks; and providing materials and constructing the integrated approaches defined by the area of reinforcement shown on the plans.</w:t>
      </w:r>
    </w:p>
    <w:p w14:paraId="1F19264D" w14:textId="127F09CA" w:rsidR="00B9080A" w:rsidRPr="00B9080A" w:rsidRDefault="00B9080A" w:rsidP="00B9080A">
      <w:pPr>
        <w:pStyle w:val="spParagraph"/>
      </w:pPr>
      <w:r w:rsidRPr="00B9080A">
        <w:t>Parapets, railings, spacers and other items above the abutment cap or coping will be paid for separately, except the integrated approach as defined above.</w:t>
      </w:r>
    </w:p>
    <w:p w14:paraId="78B513B2" w14:textId="22DF0EF9" w:rsidR="00D27DE4" w:rsidRDefault="00B9080A" w:rsidP="00B9080A">
      <w:pPr>
        <w:pStyle w:val="spParagraph"/>
      </w:pPr>
      <w:r w:rsidRPr="00B9080A">
        <w:t>Any required topsoil, fertilizer, seeding or sodding and mulch will be paid for at the contract unit for those items.</w:t>
      </w:r>
    </w:p>
    <w:p w14:paraId="55C18986" w14:textId="53F4662F" w:rsidR="00D27DE4" w:rsidRDefault="00B9080A" w:rsidP="005D1F72">
      <w:pPr>
        <w:pStyle w:val="spVersion"/>
      </w:pPr>
      <w:r w:rsidRPr="00B9080A">
        <w:t xml:space="preserve">SPV.0165.XX </w:t>
      </w:r>
      <w:r w:rsidR="00D27DE4">
        <w:t>(</w:t>
      </w:r>
      <w:r w:rsidR="004518A4">
        <w:t>20260916</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A304" w14:textId="77777777" w:rsidR="004F56FE" w:rsidRDefault="004F56FE">
      <w:r>
        <w:separator/>
      </w:r>
    </w:p>
    <w:p w14:paraId="67EDC9E9" w14:textId="77777777" w:rsidR="004F56FE" w:rsidRDefault="004F56FE"/>
    <w:p w14:paraId="2867DA6B" w14:textId="77777777" w:rsidR="004F56FE" w:rsidRDefault="004F56FE"/>
    <w:p w14:paraId="33330E7E" w14:textId="77777777" w:rsidR="004F56FE" w:rsidRDefault="004F56FE"/>
    <w:p w14:paraId="48BFC686" w14:textId="77777777" w:rsidR="004F56FE" w:rsidRDefault="004F56FE"/>
    <w:p w14:paraId="002FD8DA" w14:textId="77777777" w:rsidR="004F56FE" w:rsidRDefault="004F56FE"/>
    <w:p w14:paraId="469ED253" w14:textId="77777777" w:rsidR="004F56FE" w:rsidRDefault="004F56FE"/>
    <w:p w14:paraId="55F79DA8" w14:textId="77777777" w:rsidR="004F56FE" w:rsidRDefault="004F56FE"/>
    <w:p w14:paraId="176826A7" w14:textId="77777777" w:rsidR="004F56FE" w:rsidRDefault="004F56FE"/>
  </w:endnote>
  <w:endnote w:type="continuationSeparator" w:id="0">
    <w:p w14:paraId="303F64BA" w14:textId="77777777" w:rsidR="004F56FE" w:rsidRDefault="004F56FE">
      <w:r>
        <w:continuationSeparator/>
      </w:r>
    </w:p>
    <w:p w14:paraId="0B08009A" w14:textId="77777777" w:rsidR="004F56FE" w:rsidRDefault="004F56FE"/>
    <w:p w14:paraId="4D0BBCEE" w14:textId="77777777" w:rsidR="004F56FE" w:rsidRDefault="004F56FE"/>
    <w:p w14:paraId="565BDE03" w14:textId="77777777" w:rsidR="004F56FE" w:rsidRDefault="004F56FE"/>
    <w:p w14:paraId="1D60F3FB" w14:textId="77777777" w:rsidR="004F56FE" w:rsidRDefault="004F56FE"/>
    <w:p w14:paraId="2B7CA453" w14:textId="77777777" w:rsidR="004F56FE" w:rsidRDefault="004F56FE"/>
    <w:p w14:paraId="67B8CA35" w14:textId="77777777" w:rsidR="004F56FE" w:rsidRDefault="004F56FE"/>
    <w:p w14:paraId="37324D17" w14:textId="77777777" w:rsidR="004F56FE" w:rsidRDefault="004F56FE"/>
    <w:p w14:paraId="1FC42C2C" w14:textId="77777777" w:rsidR="004F56FE" w:rsidRDefault="004F56FE"/>
  </w:endnote>
  <w:endnote w:type="continuationNotice" w:id="1">
    <w:p w14:paraId="6874A3A6" w14:textId="77777777" w:rsidR="004F56FE" w:rsidRDefault="004F56FE"/>
    <w:p w14:paraId="5DB701DA" w14:textId="77777777" w:rsidR="004F56FE" w:rsidRDefault="004F56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4764D" w14:textId="77777777" w:rsidR="004F56FE" w:rsidRDefault="004F56FE">
      <w:r>
        <w:separator/>
      </w:r>
    </w:p>
    <w:p w14:paraId="115B1349" w14:textId="77777777" w:rsidR="004F56FE" w:rsidRDefault="004F56FE"/>
    <w:p w14:paraId="6DFF8A8B" w14:textId="77777777" w:rsidR="004F56FE" w:rsidRDefault="004F56FE"/>
    <w:p w14:paraId="7F72EB15" w14:textId="77777777" w:rsidR="004F56FE" w:rsidRDefault="004F56FE"/>
    <w:p w14:paraId="76B176BE" w14:textId="77777777" w:rsidR="004F56FE" w:rsidRDefault="004F56FE"/>
    <w:p w14:paraId="11254971" w14:textId="77777777" w:rsidR="004F56FE" w:rsidRDefault="004F56FE"/>
    <w:p w14:paraId="5E7F359D" w14:textId="77777777" w:rsidR="004F56FE" w:rsidRDefault="004F56FE"/>
    <w:p w14:paraId="51389F67" w14:textId="77777777" w:rsidR="004F56FE" w:rsidRDefault="004F56FE"/>
    <w:p w14:paraId="04480452" w14:textId="77777777" w:rsidR="004F56FE" w:rsidRDefault="004F56FE"/>
  </w:footnote>
  <w:footnote w:type="continuationSeparator" w:id="0">
    <w:p w14:paraId="29890E49" w14:textId="77777777" w:rsidR="004F56FE" w:rsidRDefault="004F56FE">
      <w:r>
        <w:continuationSeparator/>
      </w:r>
    </w:p>
    <w:p w14:paraId="09F5D366" w14:textId="77777777" w:rsidR="004F56FE" w:rsidRDefault="004F56FE"/>
    <w:p w14:paraId="36BBB178" w14:textId="77777777" w:rsidR="004F56FE" w:rsidRDefault="004F56FE"/>
    <w:p w14:paraId="59941206" w14:textId="77777777" w:rsidR="004F56FE" w:rsidRDefault="004F56FE"/>
    <w:p w14:paraId="20844A52" w14:textId="77777777" w:rsidR="004F56FE" w:rsidRDefault="004F56FE"/>
    <w:p w14:paraId="0E23F2F9" w14:textId="77777777" w:rsidR="004F56FE" w:rsidRDefault="004F56FE"/>
    <w:p w14:paraId="142D035E" w14:textId="77777777" w:rsidR="004F56FE" w:rsidRDefault="004F56FE"/>
    <w:p w14:paraId="1DE6D683" w14:textId="77777777" w:rsidR="004F56FE" w:rsidRDefault="004F56FE"/>
    <w:p w14:paraId="3BC01D42" w14:textId="77777777" w:rsidR="004F56FE" w:rsidRDefault="004F56FE"/>
  </w:footnote>
  <w:footnote w:type="continuationNotice" w:id="1">
    <w:p w14:paraId="31CE535A" w14:textId="77777777" w:rsidR="004F56FE" w:rsidRDefault="004F56FE"/>
    <w:p w14:paraId="53607E82" w14:textId="77777777" w:rsidR="004F56FE" w:rsidRDefault="004F56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2FC43C71"/>
    <w:multiLevelType w:val="hybridMultilevel"/>
    <w:tmpl w:val="E6AE4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4"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9"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8"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A59614A"/>
    <w:multiLevelType w:val="hybridMultilevel"/>
    <w:tmpl w:val="6458E17E"/>
    <w:lvl w:ilvl="0" w:tplc="BC4C2BE0">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1"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3"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4" w15:restartNumberingAfterBreak="0">
    <w:nsid w:val="66495C89"/>
    <w:multiLevelType w:val="hybridMultilevel"/>
    <w:tmpl w:val="6B10C8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4"/>
  </w:num>
  <w:num w:numId="2" w16cid:durableId="858007954">
    <w:abstractNumId w:val="32"/>
  </w:num>
  <w:num w:numId="3" w16cid:durableId="139617973">
    <w:abstractNumId w:val="42"/>
  </w:num>
  <w:num w:numId="4" w16cid:durableId="574970833">
    <w:abstractNumId w:val="16"/>
  </w:num>
  <w:num w:numId="5" w16cid:durableId="855190076">
    <w:abstractNumId w:val="47"/>
  </w:num>
  <w:num w:numId="6" w16cid:durableId="330723905">
    <w:abstractNumId w:val="46"/>
  </w:num>
  <w:num w:numId="7" w16cid:durableId="1091318689">
    <w:abstractNumId w:val="18"/>
  </w:num>
  <w:num w:numId="8" w16cid:durableId="1477068699">
    <w:abstractNumId w:val="48"/>
  </w:num>
  <w:num w:numId="9" w16cid:durableId="529732183">
    <w:abstractNumId w:val="19"/>
  </w:num>
  <w:num w:numId="10" w16cid:durableId="1061904073">
    <w:abstractNumId w:val="33"/>
  </w:num>
  <w:num w:numId="11" w16cid:durableId="225535519">
    <w:abstractNumId w:val="35"/>
  </w:num>
  <w:num w:numId="12" w16cid:durableId="2025666066">
    <w:abstractNumId w:val="4"/>
  </w:num>
  <w:num w:numId="13" w16cid:durableId="1173647326">
    <w:abstractNumId w:val="31"/>
  </w:num>
  <w:num w:numId="14" w16cid:durableId="42557279">
    <w:abstractNumId w:val="23"/>
  </w:num>
  <w:num w:numId="15" w16cid:durableId="1587764993">
    <w:abstractNumId w:val="2"/>
  </w:num>
  <w:num w:numId="16" w16cid:durableId="1368719564">
    <w:abstractNumId w:val="26"/>
  </w:num>
  <w:num w:numId="17" w16cid:durableId="461505247">
    <w:abstractNumId w:val="21"/>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1"/>
  </w:num>
  <w:num w:numId="24" w16cid:durableId="2122994050">
    <w:abstractNumId w:val="40"/>
  </w:num>
  <w:num w:numId="25" w16cid:durableId="796341314">
    <w:abstractNumId w:val="28"/>
  </w:num>
  <w:num w:numId="26" w16cid:durableId="422267211">
    <w:abstractNumId w:val="14"/>
  </w:num>
  <w:num w:numId="27" w16cid:durableId="207449928">
    <w:abstractNumId w:val="25"/>
  </w:num>
  <w:num w:numId="28" w16cid:durableId="1440488270">
    <w:abstractNumId w:val="22"/>
  </w:num>
  <w:num w:numId="29" w16cid:durableId="1949044014">
    <w:abstractNumId w:val="38"/>
  </w:num>
  <w:num w:numId="30" w16cid:durableId="1913006806">
    <w:abstractNumId w:val="15"/>
  </w:num>
  <w:num w:numId="31" w16cid:durableId="988097570">
    <w:abstractNumId w:val="45"/>
  </w:num>
  <w:num w:numId="32" w16cid:durableId="805658490">
    <w:abstractNumId w:val="3"/>
  </w:num>
  <w:num w:numId="33" w16cid:durableId="1659571915">
    <w:abstractNumId w:val="6"/>
  </w:num>
  <w:num w:numId="34" w16cid:durableId="1942570979">
    <w:abstractNumId w:val="8"/>
  </w:num>
  <w:num w:numId="35" w16cid:durableId="145561640">
    <w:abstractNumId w:val="30"/>
  </w:num>
  <w:num w:numId="36" w16cid:durableId="733552440">
    <w:abstractNumId w:val="29"/>
  </w:num>
  <w:num w:numId="37" w16cid:durableId="465978164">
    <w:abstractNumId w:val="37"/>
  </w:num>
  <w:num w:numId="38" w16cid:durableId="1275820206">
    <w:abstractNumId w:val="13"/>
  </w:num>
  <w:num w:numId="39" w16cid:durableId="2061704588">
    <w:abstractNumId w:val="43"/>
  </w:num>
  <w:num w:numId="40" w16cid:durableId="1120802529">
    <w:abstractNumId w:val="0"/>
  </w:num>
  <w:num w:numId="41" w16cid:durableId="1334065791">
    <w:abstractNumId w:val="12"/>
  </w:num>
  <w:num w:numId="42" w16cid:durableId="448401174">
    <w:abstractNumId w:val="27"/>
  </w:num>
  <w:num w:numId="43" w16cid:durableId="565918049">
    <w:abstractNumId w:val="9"/>
  </w:num>
  <w:num w:numId="44" w16cid:durableId="1385442355">
    <w:abstractNumId w:val="36"/>
  </w:num>
  <w:num w:numId="45" w16cid:durableId="378558120">
    <w:abstractNumId w:val="24"/>
  </w:num>
  <w:num w:numId="46" w16cid:durableId="698507073">
    <w:abstractNumId w:val="28"/>
  </w:num>
  <w:num w:numId="47" w16cid:durableId="188375390">
    <w:abstractNumId w:val="24"/>
  </w:num>
  <w:num w:numId="48" w16cid:durableId="609973160">
    <w:abstractNumId w:val="28"/>
  </w:num>
  <w:num w:numId="49" w16cid:durableId="4611163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4"/>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4"/>
  </w:num>
  <w:num w:numId="53" w16cid:durableId="967276382">
    <w:abstractNumId w:val="20"/>
  </w:num>
  <w:num w:numId="54" w16cid:durableId="528298513">
    <w:abstractNumId w:val="44"/>
  </w:num>
  <w:num w:numId="55" w16cid:durableId="1671525202">
    <w:abstractNumId w:val="3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0A89"/>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525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1B6"/>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06170"/>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18A4"/>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38CB"/>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6FE"/>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2A0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2C20"/>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080A"/>
    <w:rsid w:val="00B9254C"/>
    <w:rsid w:val="00B92BB9"/>
    <w:rsid w:val="00B93072"/>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BBFA32FC-8A48-4C94-A676-A7F206822BCA}"/>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22</TotalTime>
  <Pages>5</Pages>
  <Words>2851</Words>
  <Characters>16254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5</cp:revision>
  <cp:lastPrinted>2013-06-26T16:11:00Z</cp:lastPrinted>
  <dcterms:created xsi:type="dcterms:W3CDTF">2026-05-19T18:54:00Z</dcterms:created>
  <dcterms:modified xsi:type="dcterms:W3CDTF">2026-09-16T15:49:00Z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